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76D" w:rsidRPr="00703DAE" w:rsidRDefault="00F6176D" w:rsidP="00F6176D">
      <w:pPr>
        <w:rPr>
          <w:rFonts w:asciiTheme="minorHAnsi" w:hAnsiTheme="minorHAnsi"/>
          <w:color w:val="1F497D" w:themeColor="text2"/>
          <w:sz w:val="28"/>
        </w:rPr>
      </w:pPr>
      <w:r w:rsidRPr="00703DAE">
        <w:rPr>
          <w:rFonts w:asciiTheme="minorHAnsi" w:hAnsiTheme="minorHAnsi"/>
          <w:b/>
          <w:color w:val="1F497D" w:themeColor="text2"/>
          <w:sz w:val="28"/>
        </w:rPr>
        <w:t>Venture Trust – Living Wild</w:t>
      </w:r>
    </w:p>
    <w:tbl>
      <w:tblPr>
        <w:tblStyle w:val="TableGrid"/>
        <w:tblW w:w="15701" w:type="dxa"/>
        <w:tblLook w:val="04A0" w:firstRow="1" w:lastRow="0" w:firstColumn="1" w:lastColumn="0" w:noHBand="0" w:noVBand="1"/>
      </w:tblPr>
      <w:tblGrid>
        <w:gridCol w:w="2660"/>
        <w:gridCol w:w="13041"/>
      </w:tblGrid>
      <w:tr w:rsidR="00F6176D" w:rsidRPr="00703DAE" w:rsidTr="00EC3833">
        <w:tc>
          <w:tcPr>
            <w:tcW w:w="15701" w:type="dxa"/>
            <w:gridSpan w:val="2"/>
            <w:shd w:val="clear" w:color="auto" w:fill="FBD4B4" w:themeFill="accent6" w:themeFillTint="66"/>
          </w:tcPr>
          <w:p w:rsidR="00F6176D" w:rsidRPr="00EB1FF6" w:rsidRDefault="00F6176D" w:rsidP="00EC3833">
            <w:pPr>
              <w:rPr>
                <w:rFonts w:asciiTheme="minorHAnsi" w:hAnsiTheme="minorHAnsi"/>
                <w:b/>
                <w:color w:val="1F497D" w:themeColor="text2"/>
                <w:sz w:val="20"/>
                <w:szCs w:val="20"/>
              </w:rPr>
            </w:pPr>
            <w:r w:rsidRPr="00EB1FF6">
              <w:rPr>
                <w:rFonts w:asciiTheme="minorHAnsi" w:hAnsiTheme="minorHAnsi"/>
                <w:b/>
                <w:color w:val="1F497D" w:themeColor="text2"/>
                <w:sz w:val="20"/>
                <w:szCs w:val="20"/>
              </w:rPr>
              <w:t>Specialist Support for: Jobless residents in Dundee aged 16-40 with an offending background</w:t>
            </w:r>
          </w:p>
        </w:tc>
      </w:tr>
      <w:tr w:rsidR="00F6176D" w:rsidRPr="00703DAE" w:rsidTr="00EC3833">
        <w:tc>
          <w:tcPr>
            <w:tcW w:w="2660" w:type="dxa"/>
          </w:tcPr>
          <w:p w:rsidR="00F6176D" w:rsidRPr="00EB1FF6" w:rsidRDefault="00F6176D" w:rsidP="00EC3833">
            <w:pPr>
              <w:rPr>
                <w:rFonts w:asciiTheme="minorHAnsi" w:hAnsiTheme="minorHAnsi"/>
                <w:b/>
                <w:color w:val="1F497D" w:themeColor="text2"/>
                <w:sz w:val="20"/>
                <w:szCs w:val="20"/>
              </w:rPr>
            </w:pPr>
            <w:r w:rsidRPr="00EB1FF6">
              <w:rPr>
                <w:rFonts w:asciiTheme="minorHAnsi" w:hAnsiTheme="minorHAnsi"/>
                <w:b/>
                <w:color w:val="1F497D" w:themeColor="text2"/>
                <w:sz w:val="20"/>
                <w:szCs w:val="20"/>
              </w:rPr>
              <w:t>What are we doing and how are we doing it?</w:t>
            </w:r>
          </w:p>
        </w:tc>
        <w:tc>
          <w:tcPr>
            <w:tcW w:w="13041" w:type="dxa"/>
          </w:tcPr>
          <w:p w:rsidR="00F6176D" w:rsidRPr="00EB1FF6" w:rsidRDefault="00F6176D"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 xml:space="preserve">Outreach workers complete detailed needs assessments to ensure eligibility for the programme and engage clients on the programme. Stage 1 programme includes 1:to:1, group work sessions, phone and text to build a trusting relationship. Sessions focus on:  </w:t>
            </w:r>
          </w:p>
          <w:p w:rsidR="00F6176D" w:rsidRPr="00EB1FF6" w:rsidRDefault="00F6176D"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w:t>
            </w:r>
            <w:r w:rsidRPr="00EB1FF6">
              <w:rPr>
                <w:rFonts w:asciiTheme="minorHAnsi" w:hAnsiTheme="minorHAnsi"/>
                <w:color w:val="1F497D" w:themeColor="text2"/>
                <w:sz w:val="20"/>
                <w:szCs w:val="20"/>
              </w:rPr>
              <w:tab/>
              <w:t>Initial goal-setting – through 1-to-1 sessions plus referrer information, forms basis of personalised Action Plan</w:t>
            </w:r>
          </w:p>
          <w:p w:rsidR="00F6176D" w:rsidRPr="00EB1FF6" w:rsidRDefault="00F6176D"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w:t>
            </w:r>
            <w:r w:rsidRPr="00EB1FF6">
              <w:rPr>
                <w:rFonts w:asciiTheme="minorHAnsi" w:hAnsiTheme="minorHAnsi"/>
                <w:color w:val="1F497D" w:themeColor="text2"/>
                <w:sz w:val="20"/>
                <w:szCs w:val="20"/>
              </w:rPr>
              <w:tab/>
              <w:t>Initial barrier removal – coaching to begin changing negative behaviours, plus inter-agency work/sign-posting where required (e.g. liaison with housing providers/teams to stabilise accommodation situation; with lawyers re. court dates/charges; with substance abuse services to stabilise or reduce drug/alcohol consumption).</w:t>
            </w:r>
          </w:p>
          <w:p w:rsidR="00F6176D" w:rsidRPr="00EB1FF6" w:rsidRDefault="00F6176D"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w:t>
            </w:r>
            <w:r w:rsidRPr="00EB1FF6">
              <w:rPr>
                <w:rFonts w:asciiTheme="minorHAnsi" w:hAnsiTheme="minorHAnsi"/>
                <w:color w:val="1F497D" w:themeColor="text2"/>
                <w:sz w:val="20"/>
                <w:szCs w:val="20"/>
              </w:rPr>
              <w:tab/>
              <w:t>flexible 1-to-1 personal development sessions to develop aspiration, goal setting, &amp; support initial barrier removal.</w:t>
            </w:r>
          </w:p>
          <w:p w:rsidR="00F6176D" w:rsidRPr="00EB1FF6" w:rsidRDefault="00F6176D"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The objective is to prepare &amp; progress clients towards Stage 2 services, either with Venture Trust or other providers, and/or to link clients into relevant services where longer-term barrier removal is required first.  There is a flexible timeframe (4-12 weeks) reviewed regularly with each client, with intensity of support varied according to individual need, circumstances &amp; pace of progression towards Stage 2.</w:t>
            </w:r>
          </w:p>
          <w:p w:rsidR="00F6176D" w:rsidRPr="00EB1FF6" w:rsidRDefault="00F6176D" w:rsidP="00EC3833">
            <w:pPr>
              <w:rPr>
                <w:rFonts w:asciiTheme="minorHAnsi" w:hAnsiTheme="minorHAnsi"/>
                <w:color w:val="1F497D" w:themeColor="text2"/>
                <w:sz w:val="20"/>
                <w:szCs w:val="20"/>
              </w:rPr>
            </w:pPr>
          </w:p>
          <w:p w:rsidR="00F6176D" w:rsidRPr="00EB1FF6" w:rsidRDefault="00F6176D"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 xml:space="preserve">With additional community-based 1-to-1 support and group work sessions by outreach teams, clients are prepared for an 10-day wilderness based personal development and core skills training course. Our field teams use cognitive behavioural techniques and experiential learning sessions to help clients develop skills in problem solving.   The courses also offer time, space and 1-to-1 support away from daily pressures. Each client leaves with a revised personal Action Plan for use at home, plus a personalised progress report shared with referral partners.  </w:t>
            </w:r>
          </w:p>
          <w:p w:rsidR="00F6176D" w:rsidRPr="00EB1FF6" w:rsidRDefault="00F6176D"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 xml:space="preserve">Upon return home, aftercare support (in the form of 1-to-1 mentoring, advice, pastoral support and encouragement from their designated outreach worker) is guided by a client’s original goals and Action Plan.  Additional sign-posting and brokered access to a wide range of services, agencies and groups is undertaken according to individual need.  Clients may also access our series of ‘Speak Up’ employability sessions, focusing upon verbal presentation in group settings, interview skills, &amp; ‘speaking up’ in writing via covering letters, CVs or applications.  </w:t>
            </w:r>
          </w:p>
        </w:tc>
      </w:tr>
      <w:tr w:rsidR="00F6176D" w:rsidRPr="00703DAE" w:rsidTr="00EC3833">
        <w:tc>
          <w:tcPr>
            <w:tcW w:w="2660" w:type="dxa"/>
            <w:shd w:val="clear" w:color="auto" w:fill="FBD4B4" w:themeFill="accent6" w:themeFillTint="66"/>
          </w:tcPr>
          <w:p w:rsidR="00F6176D" w:rsidRPr="00EB1FF6" w:rsidRDefault="00F6176D" w:rsidP="00EC3833">
            <w:pPr>
              <w:rPr>
                <w:rFonts w:asciiTheme="minorHAnsi" w:hAnsiTheme="minorHAnsi"/>
                <w:b/>
                <w:color w:val="1F497D" w:themeColor="text2"/>
                <w:sz w:val="20"/>
                <w:szCs w:val="20"/>
              </w:rPr>
            </w:pPr>
            <w:r w:rsidRPr="00EB1FF6">
              <w:rPr>
                <w:rFonts w:asciiTheme="minorHAnsi" w:hAnsiTheme="minorHAnsi"/>
                <w:b/>
                <w:color w:val="1F497D" w:themeColor="text2"/>
                <w:sz w:val="20"/>
                <w:szCs w:val="20"/>
              </w:rPr>
              <w:t>Who’s Eligible?</w:t>
            </w:r>
          </w:p>
        </w:tc>
        <w:tc>
          <w:tcPr>
            <w:tcW w:w="13041" w:type="dxa"/>
            <w:shd w:val="clear" w:color="auto" w:fill="FBD4B4" w:themeFill="accent6" w:themeFillTint="66"/>
          </w:tcPr>
          <w:p w:rsidR="00F6176D" w:rsidRPr="00EB1FF6" w:rsidRDefault="00F6176D"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All clients are 16-40 unemployed or economically inactive, involved in the criminal justice system and on a range of community justice orders.</w:t>
            </w:r>
          </w:p>
        </w:tc>
      </w:tr>
      <w:tr w:rsidR="00F6176D" w:rsidRPr="00703DAE" w:rsidTr="00EC3833">
        <w:tc>
          <w:tcPr>
            <w:tcW w:w="2660" w:type="dxa"/>
          </w:tcPr>
          <w:p w:rsidR="00F6176D" w:rsidRPr="00EB1FF6" w:rsidRDefault="00F6176D" w:rsidP="00EC3833">
            <w:pPr>
              <w:rPr>
                <w:rFonts w:asciiTheme="minorHAnsi" w:hAnsiTheme="minorHAnsi"/>
                <w:b/>
                <w:color w:val="1F497D" w:themeColor="text2"/>
                <w:sz w:val="20"/>
                <w:szCs w:val="20"/>
              </w:rPr>
            </w:pPr>
            <w:r w:rsidRPr="00EB1FF6">
              <w:rPr>
                <w:rFonts w:asciiTheme="minorHAnsi" w:hAnsiTheme="minorHAnsi"/>
                <w:b/>
                <w:color w:val="1F497D" w:themeColor="text2"/>
                <w:sz w:val="20"/>
                <w:szCs w:val="20"/>
              </w:rPr>
              <w:t>Target Audience:</w:t>
            </w:r>
          </w:p>
        </w:tc>
        <w:tc>
          <w:tcPr>
            <w:tcW w:w="13041" w:type="dxa"/>
          </w:tcPr>
          <w:p w:rsidR="00F6176D" w:rsidRPr="00EB1FF6" w:rsidRDefault="00F6176D"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Clients are aged 16-40 and subject to probation or Community Payback Orders, Home Detention Curfews (HDC), parole licence, Drug Treatment and Testing Orders (DTTOs) or Restriction of Liberty Orders, referred predominantly by criminal justice social work teams and partner agencies.</w:t>
            </w:r>
          </w:p>
        </w:tc>
      </w:tr>
      <w:tr w:rsidR="00F6176D" w:rsidRPr="00703DAE" w:rsidTr="00EC3833">
        <w:tc>
          <w:tcPr>
            <w:tcW w:w="2660" w:type="dxa"/>
            <w:shd w:val="clear" w:color="auto" w:fill="FBD4B4" w:themeFill="accent6" w:themeFillTint="66"/>
          </w:tcPr>
          <w:p w:rsidR="00F6176D" w:rsidRPr="00EB1FF6" w:rsidRDefault="00F6176D" w:rsidP="00EC3833">
            <w:pPr>
              <w:rPr>
                <w:rFonts w:asciiTheme="minorHAnsi" w:hAnsiTheme="minorHAnsi"/>
                <w:b/>
                <w:color w:val="1F497D" w:themeColor="text2"/>
                <w:sz w:val="20"/>
                <w:szCs w:val="20"/>
              </w:rPr>
            </w:pPr>
            <w:r w:rsidRPr="00EB1FF6">
              <w:rPr>
                <w:rFonts w:asciiTheme="minorHAnsi" w:hAnsiTheme="minorHAnsi"/>
                <w:b/>
                <w:color w:val="1F497D" w:themeColor="text2"/>
                <w:sz w:val="20"/>
                <w:szCs w:val="20"/>
              </w:rPr>
              <w:t>When can we apply?</w:t>
            </w:r>
          </w:p>
        </w:tc>
        <w:tc>
          <w:tcPr>
            <w:tcW w:w="13041" w:type="dxa"/>
            <w:shd w:val="clear" w:color="auto" w:fill="FBD4B4" w:themeFill="accent6" w:themeFillTint="66"/>
          </w:tcPr>
          <w:p w:rsidR="00F6176D" w:rsidRPr="00EB1FF6" w:rsidRDefault="00F6176D"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Office hours</w:t>
            </w:r>
          </w:p>
        </w:tc>
      </w:tr>
      <w:tr w:rsidR="00F6176D" w:rsidRPr="00703DAE" w:rsidTr="00EC3833">
        <w:tc>
          <w:tcPr>
            <w:tcW w:w="2660" w:type="dxa"/>
          </w:tcPr>
          <w:p w:rsidR="00F6176D" w:rsidRPr="00EB1FF6" w:rsidRDefault="00F6176D" w:rsidP="00EC3833">
            <w:pPr>
              <w:rPr>
                <w:rFonts w:asciiTheme="minorHAnsi" w:hAnsiTheme="minorHAnsi"/>
                <w:b/>
                <w:color w:val="1F497D" w:themeColor="text2"/>
                <w:sz w:val="20"/>
                <w:szCs w:val="20"/>
              </w:rPr>
            </w:pPr>
            <w:r w:rsidRPr="00EB1FF6">
              <w:rPr>
                <w:rFonts w:asciiTheme="minorHAnsi" w:hAnsiTheme="minorHAnsi"/>
                <w:b/>
                <w:color w:val="1F497D" w:themeColor="text2"/>
                <w:sz w:val="20"/>
                <w:szCs w:val="20"/>
              </w:rPr>
              <w:t>Where will it be held?</w:t>
            </w:r>
          </w:p>
        </w:tc>
        <w:tc>
          <w:tcPr>
            <w:tcW w:w="13041" w:type="dxa"/>
          </w:tcPr>
          <w:p w:rsidR="00F6176D" w:rsidRPr="00EB1FF6" w:rsidRDefault="00F6176D"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Outreach workers based in Dundee – course runs in various locations</w:t>
            </w:r>
          </w:p>
        </w:tc>
      </w:tr>
      <w:tr w:rsidR="00F6176D" w:rsidRPr="00703DAE" w:rsidTr="00EC3833">
        <w:tc>
          <w:tcPr>
            <w:tcW w:w="2660" w:type="dxa"/>
            <w:shd w:val="clear" w:color="auto" w:fill="FBD4B4" w:themeFill="accent6" w:themeFillTint="66"/>
          </w:tcPr>
          <w:p w:rsidR="00F6176D" w:rsidRPr="00EB1FF6" w:rsidRDefault="00F6176D" w:rsidP="00EC3833">
            <w:pPr>
              <w:rPr>
                <w:rFonts w:asciiTheme="minorHAnsi" w:hAnsiTheme="minorHAnsi"/>
                <w:b/>
                <w:color w:val="1F497D" w:themeColor="text2"/>
                <w:sz w:val="20"/>
                <w:szCs w:val="20"/>
              </w:rPr>
            </w:pPr>
            <w:r w:rsidRPr="00EB1FF6">
              <w:rPr>
                <w:rFonts w:asciiTheme="minorHAnsi" w:hAnsiTheme="minorHAnsi"/>
                <w:b/>
                <w:color w:val="1F497D" w:themeColor="text2"/>
                <w:sz w:val="20"/>
                <w:szCs w:val="20"/>
              </w:rPr>
              <w:t>How do we refer?</w:t>
            </w:r>
          </w:p>
        </w:tc>
        <w:tc>
          <w:tcPr>
            <w:tcW w:w="13041" w:type="dxa"/>
            <w:shd w:val="clear" w:color="auto" w:fill="FBD4B4" w:themeFill="accent6" w:themeFillTint="66"/>
          </w:tcPr>
          <w:p w:rsidR="00F6176D" w:rsidRPr="00EB1FF6" w:rsidRDefault="00F6176D"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Referrals can be made by contacting either: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8"/>
              <w:gridCol w:w="5838"/>
            </w:tblGrid>
            <w:tr w:rsidR="00F6176D" w:rsidRPr="00EB1FF6" w:rsidTr="00EC3833">
              <w:tc>
                <w:tcPr>
                  <w:tcW w:w="5838" w:type="dxa"/>
                </w:tcPr>
                <w:p w:rsidR="00F6176D" w:rsidRPr="00EB1FF6" w:rsidRDefault="00F6176D" w:rsidP="00EC3833">
                  <w:pPr>
                    <w:rPr>
                      <w:color w:val="1F497D" w:themeColor="text2"/>
                      <w:sz w:val="20"/>
                      <w:szCs w:val="20"/>
                    </w:rPr>
                  </w:pPr>
                  <w:r w:rsidRPr="00EB1FF6">
                    <w:rPr>
                      <w:rFonts w:asciiTheme="minorHAnsi" w:hAnsiTheme="minorHAnsi"/>
                      <w:color w:val="1F497D" w:themeColor="text2"/>
                      <w:sz w:val="20"/>
                      <w:szCs w:val="20"/>
                    </w:rPr>
                    <w:t>Clare Dyer</w:t>
                  </w:r>
                </w:p>
              </w:tc>
              <w:tc>
                <w:tcPr>
                  <w:tcW w:w="5838" w:type="dxa"/>
                </w:tcPr>
                <w:p w:rsidR="00F6176D" w:rsidRPr="00EB1FF6" w:rsidRDefault="00F6176D" w:rsidP="00EC3833">
                  <w:pPr>
                    <w:rPr>
                      <w:color w:val="1F497D" w:themeColor="text2"/>
                      <w:sz w:val="20"/>
                      <w:szCs w:val="20"/>
                    </w:rPr>
                  </w:pPr>
                  <w:r w:rsidRPr="00EB1FF6">
                    <w:rPr>
                      <w:rFonts w:asciiTheme="minorHAnsi" w:hAnsiTheme="minorHAnsi"/>
                      <w:color w:val="1F497D" w:themeColor="text2"/>
                      <w:sz w:val="20"/>
                      <w:szCs w:val="20"/>
                    </w:rPr>
                    <w:t xml:space="preserve">Catrina </w:t>
                  </w:r>
                  <w:proofErr w:type="spellStart"/>
                  <w:r w:rsidRPr="00EB1FF6">
                    <w:rPr>
                      <w:rFonts w:asciiTheme="minorHAnsi" w:hAnsiTheme="minorHAnsi"/>
                      <w:color w:val="1F497D" w:themeColor="text2"/>
                      <w:sz w:val="20"/>
                      <w:szCs w:val="20"/>
                    </w:rPr>
                    <w:t>Gourlay</w:t>
                  </w:r>
                  <w:proofErr w:type="spellEnd"/>
                </w:p>
              </w:tc>
            </w:tr>
            <w:tr w:rsidR="00F6176D" w:rsidRPr="00EB1FF6" w:rsidTr="00EC3833">
              <w:tc>
                <w:tcPr>
                  <w:tcW w:w="5838" w:type="dxa"/>
                </w:tcPr>
                <w:p w:rsidR="00F6176D" w:rsidRPr="00EB1FF6" w:rsidRDefault="00F6176D" w:rsidP="00EC3833">
                  <w:pPr>
                    <w:rPr>
                      <w:color w:val="1F497D" w:themeColor="text2"/>
                      <w:sz w:val="20"/>
                      <w:szCs w:val="20"/>
                    </w:rPr>
                  </w:pPr>
                  <w:r w:rsidRPr="00EB1FF6">
                    <w:rPr>
                      <w:rFonts w:asciiTheme="minorHAnsi" w:hAnsiTheme="minorHAnsi"/>
                      <w:color w:val="1F497D" w:themeColor="text2"/>
                      <w:sz w:val="20"/>
                      <w:szCs w:val="20"/>
                    </w:rPr>
                    <w:t>clare@venturetrust.org.uk</w:t>
                  </w:r>
                </w:p>
              </w:tc>
              <w:tc>
                <w:tcPr>
                  <w:tcW w:w="5838" w:type="dxa"/>
                </w:tcPr>
                <w:p w:rsidR="00F6176D" w:rsidRPr="00EB1FF6" w:rsidRDefault="00F6176D" w:rsidP="00EC3833">
                  <w:pPr>
                    <w:rPr>
                      <w:color w:val="1F497D" w:themeColor="text2"/>
                      <w:sz w:val="20"/>
                      <w:szCs w:val="20"/>
                    </w:rPr>
                  </w:pPr>
                  <w:r w:rsidRPr="00EB1FF6">
                    <w:rPr>
                      <w:rFonts w:asciiTheme="minorHAnsi" w:hAnsiTheme="minorHAnsi"/>
                      <w:color w:val="1F497D" w:themeColor="text2"/>
                      <w:sz w:val="20"/>
                      <w:szCs w:val="20"/>
                    </w:rPr>
                    <w:t>catrina@venturetrust.org.uk</w:t>
                  </w:r>
                </w:p>
              </w:tc>
            </w:tr>
            <w:tr w:rsidR="00F6176D" w:rsidRPr="00EB1FF6" w:rsidTr="00EC3833">
              <w:tc>
                <w:tcPr>
                  <w:tcW w:w="5838" w:type="dxa"/>
                </w:tcPr>
                <w:p w:rsidR="00F6176D" w:rsidRPr="00EB1FF6" w:rsidRDefault="00F6176D" w:rsidP="00EC3833">
                  <w:pPr>
                    <w:rPr>
                      <w:color w:val="1F497D" w:themeColor="text2"/>
                      <w:sz w:val="20"/>
                      <w:szCs w:val="20"/>
                    </w:rPr>
                  </w:pPr>
                  <w:r w:rsidRPr="00EB1FF6">
                    <w:rPr>
                      <w:rFonts w:asciiTheme="minorHAnsi" w:hAnsiTheme="minorHAnsi"/>
                      <w:color w:val="1F497D" w:themeColor="text2"/>
                      <w:sz w:val="20"/>
                      <w:szCs w:val="20"/>
                    </w:rPr>
                    <w:t>07785619605</w:t>
                  </w:r>
                </w:p>
              </w:tc>
              <w:tc>
                <w:tcPr>
                  <w:tcW w:w="5838" w:type="dxa"/>
                </w:tcPr>
                <w:p w:rsidR="00F6176D" w:rsidRPr="00EB1FF6" w:rsidRDefault="00F6176D" w:rsidP="00EC3833">
                  <w:pPr>
                    <w:rPr>
                      <w:color w:val="1F497D" w:themeColor="text2"/>
                      <w:sz w:val="20"/>
                      <w:szCs w:val="20"/>
                    </w:rPr>
                  </w:pPr>
                  <w:r w:rsidRPr="00EB1FF6">
                    <w:rPr>
                      <w:rFonts w:asciiTheme="minorHAnsi" w:hAnsiTheme="minorHAnsi"/>
                      <w:color w:val="1F497D" w:themeColor="text2"/>
                      <w:sz w:val="20"/>
                      <w:szCs w:val="20"/>
                    </w:rPr>
                    <w:t>07791011614</w:t>
                  </w:r>
                </w:p>
              </w:tc>
            </w:tr>
          </w:tbl>
          <w:p w:rsidR="00F6176D" w:rsidRPr="00EB1FF6" w:rsidRDefault="00F6176D" w:rsidP="00EC3833">
            <w:pPr>
              <w:rPr>
                <w:rFonts w:asciiTheme="minorHAnsi" w:hAnsiTheme="minorHAnsi"/>
                <w:color w:val="1F497D" w:themeColor="text2"/>
                <w:sz w:val="20"/>
                <w:szCs w:val="20"/>
              </w:rPr>
            </w:pPr>
          </w:p>
        </w:tc>
      </w:tr>
      <w:tr w:rsidR="00F6176D" w:rsidRPr="00C94ED8" w:rsidTr="00EC3833">
        <w:tc>
          <w:tcPr>
            <w:tcW w:w="2660" w:type="dxa"/>
          </w:tcPr>
          <w:p w:rsidR="00F6176D" w:rsidRPr="00EB1FF6" w:rsidRDefault="00F6176D" w:rsidP="00EC3833">
            <w:pPr>
              <w:rPr>
                <w:rFonts w:asciiTheme="minorHAnsi" w:hAnsiTheme="minorHAnsi"/>
                <w:b/>
                <w:color w:val="1F497D" w:themeColor="text2"/>
                <w:sz w:val="20"/>
                <w:szCs w:val="20"/>
              </w:rPr>
            </w:pPr>
            <w:r w:rsidRPr="00EB1FF6">
              <w:rPr>
                <w:rFonts w:asciiTheme="minorHAnsi" w:hAnsiTheme="minorHAnsi"/>
                <w:b/>
                <w:color w:val="1F497D" w:themeColor="text2"/>
                <w:sz w:val="20"/>
                <w:szCs w:val="20"/>
              </w:rPr>
              <w:t>Contact Details</w:t>
            </w:r>
          </w:p>
        </w:tc>
        <w:tc>
          <w:tcPr>
            <w:tcW w:w="13041" w:type="dxa"/>
          </w:tcPr>
          <w:p w:rsidR="00F6176D" w:rsidRPr="00EB1FF6" w:rsidRDefault="00F6176D"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 xml:space="preserve">Name: Gordon Thomson,  Outreach Manager (Forth, </w:t>
            </w:r>
            <w:proofErr w:type="spellStart"/>
            <w:r w:rsidRPr="00EB1FF6">
              <w:rPr>
                <w:rFonts w:asciiTheme="minorHAnsi" w:hAnsiTheme="minorHAnsi"/>
                <w:color w:val="1F497D" w:themeColor="text2"/>
                <w:sz w:val="20"/>
                <w:szCs w:val="20"/>
              </w:rPr>
              <w:t>Tay</w:t>
            </w:r>
            <w:proofErr w:type="spellEnd"/>
            <w:r w:rsidRPr="00EB1FF6">
              <w:rPr>
                <w:rFonts w:asciiTheme="minorHAnsi" w:hAnsiTheme="minorHAnsi"/>
                <w:color w:val="1F497D" w:themeColor="text2"/>
                <w:sz w:val="20"/>
                <w:szCs w:val="20"/>
              </w:rPr>
              <w:t xml:space="preserve"> and North Hub)</w:t>
            </w:r>
          </w:p>
          <w:p w:rsidR="00F6176D" w:rsidRPr="00EB1FF6" w:rsidRDefault="00F6176D"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 xml:space="preserve">Tel: 07557281803, Argyle House, Lady Lawson St, Edinburgh EH3 9DR , 0131 2287700, </w:t>
            </w:r>
            <w:hyperlink r:id="rId4" w:history="1">
              <w:r w:rsidRPr="00EB1FF6">
                <w:rPr>
                  <w:rStyle w:val="Hyperlink"/>
                  <w:rFonts w:asciiTheme="minorHAnsi" w:hAnsiTheme="minorHAnsi"/>
                  <w:color w:val="1F497D" w:themeColor="text2"/>
                  <w:sz w:val="20"/>
                  <w:szCs w:val="20"/>
                </w:rPr>
                <w:t>www.venturetrust.org.uk</w:t>
              </w:r>
            </w:hyperlink>
          </w:p>
        </w:tc>
      </w:tr>
      <w:tr w:rsidR="00F6176D" w:rsidRPr="00703DAE" w:rsidTr="00EC3833">
        <w:tc>
          <w:tcPr>
            <w:tcW w:w="2660" w:type="dxa"/>
            <w:shd w:val="clear" w:color="auto" w:fill="FBD4B4" w:themeFill="accent6" w:themeFillTint="66"/>
          </w:tcPr>
          <w:p w:rsidR="00F6176D" w:rsidRPr="00EB1FF6" w:rsidRDefault="00F6176D" w:rsidP="00EC3833">
            <w:pPr>
              <w:rPr>
                <w:rFonts w:asciiTheme="minorHAnsi" w:hAnsiTheme="minorHAnsi"/>
                <w:b/>
                <w:color w:val="1F497D" w:themeColor="text2"/>
                <w:sz w:val="20"/>
                <w:szCs w:val="20"/>
              </w:rPr>
            </w:pPr>
            <w:r w:rsidRPr="00EB1FF6">
              <w:rPr>
                <w:rFonts w:asciiTheme="minorHAnsi" w:hAnsiTheme="minorHAnsi"/>
                <w:b/>
                <w:color w:val="1F497D" w:themeColor="text2"/>
                <w:sz w:val="20"/>
                <w:szCs w:val="20"/>
              </w:rPr>
              <w:t>Stages Covered</w:t>
            </w:r>
          </w:p>
        </w:tc>
        <w:tc>
          <w:tcPr>
            <w:tcW w:w="13041" w:type="dxa"/>
            <w:shd w:val="clear" w:color="auto" w:fill="FBD4B4" w:themeFill="accent6" w:themeFillTint="66"/>
          </w:tcPr>
          <w:p w:rsidR="00F6176D" w:rsidRPr="00EB1FF6" w:rsidRDefault="00F6176D"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1, 2, 3</w:t>
            </w:r>
          </w:p>
        </w:tc>
      </w:tr>
      <w:tr w:rsidR="00F6176D" w:rsidRPr="00703DAE" w:rsidTr="00EC3833">
        <w:tc>
          <w:tcPr>
            <w:tcW w:w="15701" w:type="dxa"/>
            <w:gridSpan w:val="2"/>
          </w:tcPr>
          <w:p w:rsidR="00F6176D" w:rsidRPr="00EB1FF6" w:rsidRDefault="00F6176D"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Additional Information</w:t>
            </w:r>
          </w:p>
          <w:p w:rsidR="00F6176D" w:rsidRPr="00EB1FF6" w:rsidRDefault="00F6176D"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 xml:space="preserve">Programme combines initial flexible community-based 1-to-1 support focusing on early engagement, needs assessment, </w:t>
            </w:r>
            <w:proofErr w:type="spellStart"/>
            <w:r w:rsidRPr="00EB1FF6">
              <w:rPr>
                <w:rFonts w:asciiTheme="minorHAnsi" w:hAnsiTheme="minorHAnsi"/>
                <w:color w:val="1F497D" w:themeColor="text2"/>
                <w:sz w:val="20"/>
                <w:szCs w:val="20"/>
              </w:rPr>
              <w:t>caseworking</w:t>
            </w:r>
            <w:proofErr w:type="spellEnd"/>
            <w:r w:rsidRPr="00EB1FF6">
              <w:rPr>
                <w:rFonts w:asciiTheme="minorHAnsi" w:hAnsiTheme="minorHAnsi"/>
                <w:color w:val="1F497D" w:themeColor="text2"/>
                <w:sz w:val="20"/>
                <w:szCs w:val="20"/>
              </w:rPr>
              <w:t xml:space="preserve"> and initial action planning (Stage1).  Stage 2 combines 1:1 sessions, with an intensive 10 day wilderness-based personal development residential journey helping behavioural change towards desistance and </w:t>
            </w:r>
            <w:proofErr w:type="spellStart"/>
            <w:r w:rsidRPr="00EB1FF6">
              <w:rPr>
                <w:rFonts w:asciiTheme="minorHAnsi" w:hAnsiTheme="minorHAnsi"/>
                <w:color w:val="1F497D" w:themeColor="text2"/>
                <w:sz w:val="20"/>
                <w:szCs w:val="20"/>
              </w:rPr>
              <w:t>coreskills</w:t>
            </w:r>
            <w:proofErr w:type="spellEnd"/>
            <w:r w:rsidRPr="00EB1FF6">
              <w:rPr>
                <w:rFonts w:asciiTheme="minorHAnsi" w:hAnsiTheme="minorHAnsi"/>
                <w:color w:val="1F497D" w:themeColor="text2"/>
                <w:sz w:val="20"/>
                <w:szCs w:val="20"/>
              </w:rPr>
              <w:t xml:space="preserve"> to sustain more positive pathways (including towards employability outcomes).  Additional 1:1 support bracketing Stages 2 and 3 included Job search support, advice and coaching, and facilitating access to further employability, personal development support, training and wider support services according to individual client need.</w:t>
            </w:r>
          </w:p>
        </w:tc>
      </w:tr>
    </w:tbl>
    <w:p w:rsidR="00F6176D" w:rsidRPr="00703DAE" w:rsidRDefault="00F6176D" w:rsidP="00F6176D">
      <w:pPr>
        <w:rPr>
          <w:rFonts w:asciiTheme="minorHAnsi" w:hAnsiTheme="minorHAnsi"/>
          <w:color w:val="1F497D" w:themeColor="text2"/>
        </w:rPr>
      </w:pPr>
      <w:bookmarkStart w:id="0" w:name="_GoBack"/>
      <w:bookmarkEnd w:id="0"/>
    </w:p>
    <w:p w:rsidR="00472BF7" w:rsidRPr="00F6176D" w:rsidRDefault="00472BF7" w:rsidP="00F6176D"/>
    <w:sectPr w:rsidR="00472BF7" w:rsidRPr="00F6176D" w:rsidSect="00FA057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57A"/>
    <w:rsid w:val="00472BF7"/>
    <w:rsid w:val="00F6176D"/>
    <w:rsid w:val="00FA0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E79F37-37E0-469F-A698-5ED11AD7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5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5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enture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3604</Characters>
  <Application>Microsoft Office Word</Application>
  <DocSecurity>0</DocSecurity>
  <Lines>30</Lines>
  <Paragraphs>8</Paragraphs>
  <ScaleCrop>false</ScaleCrop>
  <Company>Dundee City Council</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gee</dc:creator>
  <cp:lastModifiedBy>julie gee</cp:lastModifiedBy>
  <cp:revision>2</cp:revision>
  <dcterms:created xsi:type="dcterms:W3CDTF">2018-05-14T13:47:00Z</dcterms:created>
  <dcterms:modified xsi:type="dcterms:W3CDTF">2018-05-14T13:47:00Z</dcterms:modified>
</cp:coreProperties>
</file>