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387" w:rsidRPr="00C411A7" w:rsidRDefault="00965748" w:rsidP="00C411A7">
      <w:pPr>
        <w:ind w:left="2160" w:hanging="2160"/>
        <w:rPr>
          <w:b/>
          <w:sz w:val="20"/>
        </w:rPr>
      </w:pPr>
      <w:bookmarkStart w:id="0" w:name="_GoBack"/>
      <w:bookmarkEnd w:id="0"/>
      <w:r w:rsidRPr="00C411A7">
        <w:rPr>
          <w:b/>
          <w:sz w:val="20"/>
        </w:rPr>
        <w:t>REPORT TO:</w:t>
      </w:r>
      <w:r w:rsidRPr="00C411A7">
        <w:rPr>
          <w:b/>
          <w:sz w:val="20"/>
        </w:rPr>
        <w:tab/>
      </w:r>
      <w:r w:rsidR="006F0973" w:rsidRPr="00C411A7">
        <w:rPr>
          <w:b/>
          <w:sz w:val="20"/>
        </w:rPr>
        <w:t xml:space="preserve">SCRUTINY COMMITTEE </w:t>
      </w:r>
      <w:r w:rsidR="00A5032D" w:rsidRPr="00C411A7">
        <w:rPr>
          <w:b/>
          <w:sz w:val="20"/>
        </w:rPr>
        <w:t>-</w:t>
      </w:r>
      <w:r w:rsidR="00B52CBD" w:rsidRPr="00C411A7">
        <w:rPr>
          <w:b/>
          <w:sz w:val="20"/>
        </w:rPr>
        <w:t xml:space="preserve"> </w:t>
      </w:r>
      <w:r w:rsidR="00DC5721">
        <w:rPr>
          <w:b/>
          <w:sz w:val="20"/>
        </w:rPr>
        <w:t>26 JUNE 2019</w:t>
      </w:r>
    </w:p>
    <w:p w:rsidR="00293229" w:rsidRPr="00AB1652" w:rsidRDefault="00293229" w:rsidP="00293229">
      <w:pPr>
        <w:rPr>
          <w:sz w:val="20"/>
        </w:rPr>
      </w:pPr>
    </w:p>
    <w:p w:rsidR="00237387" w:rsidRPr="00AB1652" w:rsidRDefault="00237387" w:rsidP="007954C1">
      <w:pPr>
        <w:ind w:left="2160" w:hanging="2160"/>
        <w:jc w:val="both"/>
        <w:rPr>
          <w:b/>
          <w:sz w:val="20"/>
        </w:rPr>
      </w:pPr>
      <w:r w:rsidRPr="00AB1652">
        <w:rPr>
          <w:b/>
          <w:sz w:val="20"/>
        </w:rPr>
        <w:t>REPORT ON:</w:t>
      </w:r>
      <w:r w:rsidR="00C05750" w:rsidRPr="00AB1652">
        <w:rPr>
          <w:b/>
          <w:sz w:val="20"/>
        </w:rPr>
        <w:tab/>
      </w:r>
      <w:r w:rsidR="00965748" w:rsidRPr="00AB1652">
        <w:rPr>
          <w:b/>
          <w:sz w:val="20"/>
        </w:rPr>
        <w:t>ANNUAL</w:t>
      </w:r>
      <w:r w:rsidR="00C05750" w:rsidRPr="00AB1652">
        <w:rPr>
          <w:b/>
          <w:sz w:val="20"/>
        </w:rPr>
        <w:t xml:space="preserve"> </w:t>
      </w:r>
      <w:r w:rsidR="00965748" w:rsidRPr="00AB1652">
        <w:rPr>
          <w:b/>
          <w:sz w:val="20"/>
        </w:rPr>
        <w:t>REPORT ON COMPLAINTS</w:t>
      </w:r>
    </w:p>
    <w:p w:rsidR="00BD5B51" w:rsidRPr="00AB1652" w:rsidRDefault="00BD5B51" w:rsidP="007954C1">
      <w:pPr>
        <w:ind w:left="2160" w:hanging="2160"/>
        <w:jc w:val="both"/>
        <w:rPr>
          <w:b/>
          <w:sz w:val="20"/>
        </w:rPr>
      </w:pPr>
    </w:p>
    <w:p w:rsidR="00237387" w:rsidRPr="00AB1652" w:rsidRDefault="00237387" w:rsidP="007954C1">
      <w:pPr>
        <w:ind w:left="2160" w:hanging="2160"/>
        <w:jc w:val="both"/>
        <w:rPr>
          <w:b/>
          <w:sz w:val="20"/>
        </w:rPr>
      </w:pPr>
      <w:r w:rsidRPr="00AB1652">
        <w:rPr>
          <w:b/>
          <w:sz w:val="20"/>
        </w:rPr>
        <w:t>REPORT BY:</w:t>
      </w:r>
      <w:r w:rsidR="000D2779" w:rsidRPr="00AB1652">
        <w:rPr>
          <w:b/>
          <w:sz w:val="20"/>
        </w:rPr>
        <w:tab/>
      </w:r>
      <w:r w:rsidR="00B52CBD" w:rsidRPr="00AB1652">
        <w:rPr>
          <w:b/>
          <w:sz w:val="20"/>
        </w:rPr>
        <w:t>CHIEF EXECUTIVE</w:t>
      </w:r>
    </w:p>
    <w:p w:rsidR="00237387" w:rsidRPr="00AB1652" w:rsidRDefault="00237387" w:rsidP="007954C1">
      <w:pPr>
        <w:ind w:left="2160" w:hanging="2160"/>
        <w:jc w:val="both"/>
        <w:rPr>
          <w:b/>
          <w:sz w:val="20"/>
        </w:rPr>
      </w:pPr>
    </w:p>
    <w:p w:rsidR="006F0973" w:rsidRPr="00AB1652" w:rsidRDefault="00333A7B" w:rsidP="007954C1">
      <w:pPr>
        <w:ind w:left="2160" w:hanging="2160"/>
        <w:jc w:val="both"/>
        <w:rPr>
          <w:b/>
          <w:sz w:val="20"/>
        </w:rPr>
      </w:pPr>
      <w:r w:rsidRPr="00AB1652">
        <w:rPr>
          <w:b/>
          <w:sz w:val="20"/>
        </w:rPr>
        <w:t>REPORT NO:</w:t>
      </w:r>
      <w:r w:rsidRPr="00AB1652">
        <w:rPr>
          <w:b/>
          <w:sz w:val="20"/>
        </w:rPr>
        <w:tab/>
      </w:r>
      <w:r w:rsidR="00DC5721">
        <w:rPr>
          <w:b/>
          <w:sz w:val="20"/>
        </w:rPr>
        <w:t>189-2019</w:t>
      </w:r>
    </w:p>
    <w:p w:rsidR="00A47C46" w:rsidRPr="00AB1652" w:rsidRDefault="00A47C46" w:rsidP="007954C1">
      <w:pPr>
        <w:ind w:left="2160" w:hanging="2160"/>
        <w:jc w:val="both"/>
        <w:rPr>
          <w:sz w:val="20"/>
        </w:rPr>
      </w:pPr>
    </w:p>
    <w:p w:rsidR="00B52CBD" w:rsidRDefault="00B52CBD" w:rsidP="007954C1">
      <w:pPr>
        <w:ind w:left="2160" w:hanging="2160"/>
        <w:jc w:val="both"/>
        <w:rPr>
          <w:sz w:val="20"/>
        </w:rPr>
      </w:pPr>
    </w:p>
    <w:p w:rsidR="00AA6C80" w:rsidRPr="00AB1652" w:rsidRDefault="00AA6C80" w:rsidP="007954C1">
      <w:pPr>
        <w:ind w:left="2160" w:hanging="2160"/>
        <w:jc w:val="both"/>
        <w:rPr>
          <w:sz w:val="20"/>
        </w:rPr>
      </w:pPr>
    </w:p>
    <w:p w:rsidR="000D2779" w:rsidRPr="00C411A7" w:rsidRDefault="00017AAD" w:rsidP="007954C1">
      <w:pPr>
        <w:jc w:val="both"/>
        <w:rPr>
          <w:rFonts w:cs="Arial"/>
          <w:b/>
          <w:bCs/>
          <w:sz w:val="20"/>
        </w:rPr>
      </w:pPr>
      <w:r w:rsidRPr="00C411A7">
        <w:rPr>
          <w:rFonts w:cs="Arial"/>
          <w:b/>
          <w:bCs/>
          <w:sz w:val="20"/>
        </w:rPr>
        <w:t>1.</w:t>
      </w:r>
      <w:r w:rsidR="000D2779" w:rsidRPr="00C411A7">
        <w:rPr>
          <w:rFonts w:cs="Arial"/>
          <w:b/>
          <w:bCs/>
          <w:sz w:val="20"/>
        </w:rPr>
        <w:tab/>
        <w:t>PURPOSE OF REPORT</w:t>
      </w:r>
    </w:p>
    <w:p w:rsidR="000D2779" w:rsidRPr="00AB1652" w:rsidRDefault="000D2779" w:rsidP="007954C1">
      <w:pPr>
        <w:jc w:val="both"/>
        <w:rPr>
          <w:rFonts w:cs="Arial"/>
          <w:sz w:val="20"/>
        </w:rPr>
      </w:pPr>
    </w:p>
    <w:p w:rsidR="00A47C46" w:rsidRPr="00AB1652" w:rsidRDefault="00293229" w:rsidP="00B52CBD">
      <w:pPr>
        <w:ind w:left="720"/>
        <w:jc w:val="both"/>
        <w:rPr>
          <w:rFonts w:cs="Arial"/>
          <w:sz w:val="20"/>
        </w:rPr>
      </w:pPr>
      <w:r w:rsidRPr="00AB1652">
        <w:rPr>
          <w:rFonts w:cs="Arial"/>
          <w:sz w:val="20"/>
        </w:rPr>
        <w:t xml:space="preserve">To </w:t>
      </w:r>
      <w:r w:rsidR="000127A5">
        <w:rPr>
          <w:rFonts w:cs="Arial"/>
          <w:sz w:val="20"/>
        </w:rPr>
        <w:t>analyse</w:t>
      </w:r>
      <w:r w:rsidRPr="00AB1652">
        <w:rPr>
          <w:rFonts w:cs="Arial"/>
          <w:sz w:val="20"/>
        </w:rPr>
        <w:t xml:space="preserve"> com</w:t>
      </w:r>
      <w:r w:rsidR="001F70F3" w:rsidRPr="00AB1652">
        <w:rPr>
          <w:rFonts w:cs="Arial"/>
          <w:sz w:val="20"/>
        </w:rPr>
        <w:t>pl</w:t>
      </w:r>
      <w:r w:rsidR="00A70EA6" w:rsidRPr="00AB1652">
        <w:rPr>
          <w:rFonts w:cs="Arial"/>
          <w:sz w:val="20"/>
        </w:rPr>
        <w:t xml:space="preserve">aints </w:t>
      </w:r>
      <w:r w:rsidR="00333A7B" w:rsidRPr="00AB1652">
        <w:rPr>
          <w:rFonts w:cs="Arial"/>
          <w:sz w:val="20"/>
        </w:rPr>
        <w:t xml:space="preserve">statistics </w:t>
      </w:r>
      <w:r w:rsidR="00B52CBD" w:rsidRPr="00AB1652">
        <w:rPr>
          <w:rFonts w:cs="Arial"/>
          <w:sz w:val="20"/>
        </w:rPr>
        <w:t>for 201</w:t>
      </w:r>
      <w:r w:rsidR="00DC5721">
        <w:rPr>
          <w:rFonts w:cs="Arial"/>
          <w:sz w:val="20"/>
        </w:rPr>
        <w:t>8</w:t>
      </w:r>
      <w:r w:rsidR="00B52CBD" w:rsidRPr="00AB1652">
        <w:rPr>
          <w:rFonts w:cs="Arial"/>
          <w:sz w:val="20"/>
        </w:rPr>
        <w:t>/201</w:t>
      </w:r>
      <w:r w:rsidR="00DC5721">
        <w:rPr>
          <w:rFonts w:cs="Arial"/>
          <w:sz w:val="20"/>
        </w:rPr>
        <w:t>9</w:t>
      </w:r>
      <w:r w:rsidR="00EC130C" w:rsidRPr="00AB1652">
        <w:rPr>
          <w:rFonts w:cs="Arial"/>
          <w:sz w:val="20"/>
        </w:rPr>
        <w:t xml:space="preserve">, </w:t>
      </w:r>
      <w:r w:rsidR="00965748" w:rsidRPr="00AB1652">
        <w:rPr>
          <w:rFonts w:cs="Arial"/>
          <w:sz w:val="20"/>
        </w:rPr>
        <w:t>with comparisons to previous periods</w:t>
      </w:r>
      <w:r w:rsidR="005B0E6C" w:rsidRPr="00AB1652">
        <w:rPr>
          <w:rFonts w:cs="Arial"/>
          <w:sz w:val="20"/>
        </w:rPr>
        <w:t>,</w:t>
      </w:r>
      <w:r w:rsidR="00F40556" w:rsidRPr="00AB1652">
        <w:rPr>
          <w:rFonts w:cs="Arial"/>
          <w:sz w:val="20"/>
        </w:rPr>
        <w:t xml:space="preserve"> </w:t>
      </w:r>
      <w:r w:rsidR="001F70F3" w:rsidRPr="00AB1652">
        <w:rPr>
          <w:rFonts w:cs="Arial"/>
          <w:sz w:val="20"/>
        </w:rPr>
        <w:t xml:space="preserve">and </w:t>
      </w:r>
      <w:r w:rsidR="000127A5">
        <w:rPr>
          <w:rFonts w:cs="Arial"/>
          <w:sz w:val="20"/>
        </w:rPr>
        <w:t xml:space="preserve">to report </w:t>
      </w:r>
      <w:r w:rsidR="002B36C7" w:rsidRPr="00AB1652">
        <w:rPr>
          <w:rFonts w:cs="Arial"/>
          <w:sz w:val="20"/>
        </w:rPr>
        <w:t>on the action</w:t>
      </w:r>
      <w:r w:rsidR="0040556F" w:rsidRPr="00AB1652">
        <w:rPr>
          <w:rFonts w:cs="Arial"/>
          <w:sz w:val="20"/>
        </w:rPr>
        <w:t xml:space="preserve"> which continues to be</w:t>
      </w:r>
      <w:r w:rsidR="00F2175C" w:rsidRPr="00AB1652">
        <w:rPr>
          <w:rFonts w:cs="Arial"/>
          <w:sz w:val="20"/>
        </w:rPr>
        <w:t xml:space="preserve"> taken to ensure </w:t>
      </w:r>
      <w:r w:rsidR="00354E71" w:rsidRPr="00AB1652">
        <w:rPr>
          <w:rFonts w:cs="Arial"/>
          <w:sz w:val="20"/>
        </w:rPr>
        <w:t xml:space="preserve">that complaints are handled well </w:t>
      </w:r>
      <w:r w:rsidR="00F2175C" w:rsidRPr="00AB1652">
        <w:rPr>
          <w:rFonts w:cs="Arial"/>
          <w:sz w:val="20"/>
        </w:rPr>
        <w:t>and to learn from complaints.</w:t>
      </w:r>
    </w:p>
    <w:p w:rsidR="00C82171" w:rsidRPr="00AB1652" w:rsidRDefault="00C82171" w:rsidP="007954C1">
      <w:pPr>
        <w:jc w:val="both"/>
        <w:rPr>
          <w:rFonts w:cs="Arial"/>
          <w:sz w:val="20"/>
        </w:rPr>
      </w:pPr>
    </w:p>
    <w:p w:rsidR="00405033" w:rsidRPr="00AB1652" w:rsidRDefault="00405033" w:rsidP="007954C1">
      <w:pPr>
        <w:jc w:val="both"/>
        <w:rPr>
          <w:rFonts w:cs="Arial"/>
          <w:sz w:val="20"/>
        </w:rPr>
      </w:pPr>
    </w:p>
    <w:p w:rsidR="000D2779" w:rsidRPr="00C411A7" w:rsidRDefault="003A7BA2" w:rsidP="007954C1">
      <w:pPr>
        <w:jc w:val="both"/>
        <w:rPr>
          <w:b/>
          <w:sz w:val="20"/>
        </w:rPr>
      </w:pPr>
      <w:r w:rsidRPr="00C411A7">
        <w:rPr>
          <w:b/>
          <w:sz w:val="20"/>
        </w:rPr>
        <w:t>2.</w:t>
      </w:r>
      <w:r w:rsidRPr="00C411A7">
        <w:rPr>
          <w:b/>
          <w:sz w:val="20"/>
        </w:rPr>
        <w:tab/>
      </w:r>
      <w:r w:rsidR="000D2779" w:rsidRPr="00C411A7">
        <w:rPr>
          <w:b/>
          <w:sz w:val="20"/>
        </w:rPr>
        <w:t>RECOMMENDATIONS</w:t>
      </w:r>
    </w:p>
    <w:p w:rsidR="00017AAD" w:rsidRPr="00AB1652" w:rsidRDefault="00017AAD" w:rsidP="007954C1">
      <w:pPr>
        <w:jc w:val="both"/>
        <w:rPr>
          <w:sz w:val="20"/>
        </w:rPr>
      </w:pPr>
    </w:p>
    <w:p w:rsidR="005C222A" w:rsidRPr="00AB1652" w:rsidRDefault="00293229" w:rsidP="00405033">
      <w:pPr>
        <w:ind w:left="720"/>
        <w:jc w:val="both"/>
        <w:rPr>
          <w:sz w:val="20"/>
        </w:rPr>
      </w:pPr>
      <w:r w:rsidRPr="00AB1652">
        <w:rPr>
          <w:sz w:val="20"/>
        </w:rPr>
        <w:t xml:space="preserve">It </w:t>
      </w:r>
      <w:r w:rsidR="0052604C" w:rsidRPr="00AB1652">
        <w:rPr>
          <w:sz w:val="20"/>
        </w:rPr>
        <w:t xml:space="preserve">is </w:t>
      </w:r>
      <w:r w:rsidR="006F0973" w:rsidRPr="00AB1652">
        <w:rPr>
          <w:sz w:val="20"/>
        </w:rPr>
        <w:t>recommended that Committee</w:t>
      </w:r>
      <w:r w:rsidR="00743059" w:rsidRPr="00AB1652">
        <w:rPr>
          <w:sz w:val="20"/>
        </w:rPr>
        <w:t xml:space="preserve"> notes</w:t>
      </w:r>
      <w:r w:rsidRPr="00AB1652">
        <w:rPr>
          <w:sz w:val="20"/>
        </w:rPr>
        <w:t>:</w:t>
      </w:r>
      <w:r w:rsidR="00C411A7">
        <w:rPr>
          <w:sz w:val="20"/>
        </w:rPr>
        <w:t>-</w:t>
      </w:r>
    </w:p>
    <w:p w:rsidR="00293229" w:rsidRPr="00AB1652" w:rsidRDefault="00293229" w:rsidP="00293229">
      <w:pPr>
        <w:jc w:val="both"/>
        <w:rPr>
          <w:sz w:val="20"/>
        </w:rPr>
      </w:pPr>
    </w:p>
    <w:p w:rsidR="00293229" w:rsidRPr="00AB1652" w:rsidRDefault="00FF57DF" w:rsidP="00B52CBD">
      <w:pPr>
        <w:tabs>
          <w:tab w:val="left" w:pos="720"/>
        </w:tabs>
        <w:ind w:left="1440" w:hanging="720"/>
        <w:jc w:val="both"/>
        <w:rPr>
          <w:sz w:val="20"/>
        </w:rPr>
      </w:pPr>
      <w:r w:rsidRPr="00AB1652">
        <w:rPr>
          <w:sz w:val="20"/>
        </w:rPr>
        <w:t>(</w:t>
      </w:r>
      <w:r w:rsidR="00293229" w:rsidRPr="00AB1652">
        <w:rPr>
          <w:sz w:val="20"/>
        </w:rPr>
        <w:t>a)</w:t>
      </w:r>
      <w:r w:rsidR="00293229" w:rsidRPr="00AB1652">
        <w:rPr>
          <w:sz w:val="20"/>
        </w:rPr>
        <w:tab/>
        <w:t xml:space="preserve">the key performance indicators on complaints </w:t>
      </w:r>
      <w:r w:rsidR="001D48F6" w:rsidRPr="00AB1652">
        <w:rPr>
          <w:sz w:val="20"/>
        </w:rPr>
        <w:t xml:space="preserve">closed </w:t>
      </w:r>
      <w:r w:rsidR="00C05750" w:rsidRPr="00AB1652">
        <w:rPr>
          <w:sz w:val="20"/>
        </w:rPr>
        <w:t xml:space="preserve">between 1 </w:t>
      </w:r>
      <w:r w:rsidR="00BB2C93" w:rsidRPr="00AB1652">
        <w:rPr>
          <w:sz w:val="20"/>
        </w:rPr>
        <w:t>April 201</w:t>
      </w:r>
      <w:r w:rsidR="00DC5721">
        <w:rPr>
          <w:sz w:val="20"/>
        </w:rPr>
        <w:t>8</w:t>
      </w:r>
      <w:r w:rsidR="00C05750" w:rsidRPr="00AB1652">
        <w:rPr>
          <w:sz w:val="20"/>
        </w:rPr>
        <w:t xml:space="preserve"> and</w:t>
      </w:r>
      <w:r w:rsidR="000127A5">
        <w:rPr>
          <w:sz w:val="20"/>
        </w:rPr>
        <w:t xml:space="preserve"> 31</w:t>
      </w:r>
      <w:r w:rsidR="00C411A7">
        <w:rPr>
          <w:sz w:val="20"/>
        </w:rPr>
        <w:t> </w:t>
      </w:r>
      <w:r w:rsidR="000127A5">
        <w:rPr>
          <w:sz w:val="20"/>
        </w:rPr>
        <w:t>March</w:t>
      </w:r>
      <w:r w:rsidR="00C411A7">
        <w:rPr>
          <w:sz w:val="20"/>
        </w:rPr>
        <w:t> </w:t>
      </w:r>
      <w:r w:rsidR="000127A5">
        <w:rPr>
          <w:sz w:val="20"/>
        </w:rPr>
        <w:t>201</w:t>
      </w:r>
      <w:r w:rsidR="00DC5721">
        <w:rPr>
          <w:sz w:val="20"/>
        </w:rPr>
        <w:t>9</w:t>
      </w:r>
      <w:r w:rsidR="005B0E6C" w:rsidRPr="00AB1652">
        <w:rPr>
          <w:sz w:val="20"/>
        </w:rPr>
        <w:t>, wi</w:t>
      </w:r>
      <w:r w:rsidR="00C411A7">
        <w:rPr>
          <w:sz w:val="20"/>
        </w:rPr>
        <w:t>th trends from previous periods;</w:t>
      </w:r>
    </w:p>
    <w:p w:rsidR="00293229" w:rsidRPr="00AB1652" w:rsidRDefault="00293229" w:rsidP="00B52CBD">
      <w:pPr>
        <w:ind w:left="720"/>
        <w:jc w:val="both"/>
        <w:rPr>
          <w:sz w:val="20"/>
        </w:rPr>
      </w:pPr>
    </w:p>
    <w:p w:rsidR="00293229" w:rsidRPr="00AB1652" w:rsidRDefault="00FF57DF" w:rsidP="00B52CBD">
      <w:pPr>
        <w:tabs>
          <w:tab w:val="left" w:pos="720"/>
        </w:tabs>
        <w:ind w:left="1440" w:hanging="720"/>
        <w:jc w:val="both"/>
        <w:rPr>
          <w:sz w:val="20"/>
        </w:rPr>
      </w:pPr>
      <w:r w:rsidRPr="00AB1652">
        <w:rPr>
          <w:sz w:val="20"/>
        </w:rPr>
        <w:t>(</w:t>
      </w:r>
      <w:r w:rsidR="00874E64" w:rsidRPr="00AB1652">
        <w:rPr>
          <w:sz w:val="20"/>
        </w:rPr>
        <w:t>b)</w:t>
      </w:r>
      <w:r w:rsidR="00874E64" w:rsidRPr="00AB1652">
        <w:rPr>
          <w:sz w:val="20"/>
        </w:rPr>
        <w:tab/>
        <w:t xml:space="preserve">the latest </w:t>
      </w:r>
      <w:r w:rsidR="00354E71" w:rsidRPr="00AB1652">
        <w:rPr>
          <w:sz w:val="20"/>
        </w:rPr>
        <w:t>update</w:t>
      </w:r>
      <w:r w:rsidR="00293229" w:rsidRPr="00AB1652">
        <w:rPr>
          <w:sz w:val="20"/>
        </w:rPr>
        <w:t xml:space="preserve"> from the Complaints Review Group which meets </w:t>
      </w:r>
      <w:r w:rsidR="00A70EA6" w:rsidRPr="00AB1652">
        <w:rPr>
          <w:sz w:val="20"/>
        </w:rPr>
        <w:t xml:space="preserve">quarterly </w:t>
      </w:r>
      <w:r w:rsidR="00293229" w:rsidRPr="00AB1652">
        <w:rPr>
          <w:sz w:val="20"/>
        </w:rPr>
        <w:t xml:space="preserve">to check the quality of complaints handling and </w:t>
      </w:r>
      <w:r w:rsidR="006F0973" w:rsidRPr="00AB1652">
        <w:rPr>
          <w:sz w:val="20"/>
        </w:rPr>
        <w:t xml:space="preserve">to </w:t>
      </w:r>
      <w:r w:rsidR="00293229" w:rsidRPr="00AB1652">
        <w:rPr>
          <w:sz w:val="20"/>
        </w:rPr>
        <w:t xml:space="preserve">promote learning and </w:t>
      </w:r>
      <w:r w:rsidR="00D82BBD" w:rsidRPr="00AB1652">
        <w:rPr>
          <w:sz w:val="20"/>
        </w:rPr>
        <w:t xml:space="preserve">process </w:t>
      </w:r>
      <w:r w:rsidR="00293229" w:rsidRPr="00AB1652">
        <w:rPr>
          <w:sz w:val="20"/>
        </w:rPr>
        <w:t>improvement from complaints</w:t>
      </w:r>
      <w:r w:rsidR="00C411A7">
        <w:rPr>
          <w:sz w:val="20"/>
        </w:rPr>
        <w:t>;</w:t>
      </w:r>
    </w:p>
    <w:p w:rsidR="0052604C" w:rsidRPr="00AB1652" w:rsidRDefault="0052604C" w:rsidP="00B52CBD">
      <w:pPr>
        <w:tabs>
          <w:tab w:val="left" w:pos="720"/>
        </w:tabs>
        <w:ind w:left="2160" w:hanging="1440"/>
        <w:jc w:val="both"/>
        <w:rPr>
          <w:sz w:val="20"/>
        </w:rPr>
      </w:pPr>
    </w:p>
    <w:p w:rsidR="0052604C" w:rsidRDefault="00FF57DF" w:rsidP="00B52CBD">
      <w:pPr>
        <w:tabs>
          <w:tab w:val="left" w:pos="720"/>
        </w:tabs>
        <w:ind w:left="1440" w:hanging="720"/>
        <w:jc w:val="both"/>
        <w:rPr>
          <w:sz w:val="20"/>
        </w:rPr>
      </w:pPr>
      <w:r w:rsidRPr="00AB1652">
        <w:rPr>
          <w:sz w:val="20"/>
        </w:rPr>
        <w:t>(</w:t>
      </w:r>
      <w:r w:rsidR="00C05750" w:rsidRPr="00AB1652">
        <w:rPr>
          <w:sz w:val="20"/>
        </w:rPr>
        <w:t>c</w:t>
      </w:r>
      <w:r w:rsidR="00293229" w:rsidRPr="00AB1652">
        <w:rPr>
          <w:sz w:val="20"/>
        </w:rPr>
        <w:t>)</w:t>
      </w:r>
      <w:r w:rsidR="00293229" w:rsidRPr="00AB1652">
        <w:rPr>
          <w:sz w:val="20"/>
        </w:rPr>
        <w:tab/>
        <w:t>the results of the satisfaction survey</w:t>
      </w:r>
      <w:r w:rsidR="006827AB">
        <w:rPr>
          <w:sz w:val="20"/>
        </w:rPr>
        <w:t>s</w:t>
      </w:r>
      <w:r w:rsidR="00293229" w:rsidRPr="00AB1652">
        <w:rPr>
          <w:sz w:val="20"/>
        </w:rPr>
        <w:t xml:space="preserve"> sent to everyone</w:t>
      </w:r>
      <w:r w:rsidR="00FC58D0" w:rsidRPr="00AB1652">
        <w:rPr>
          <w:sz w:val="20"/>
        </w:rPr>
        <w:t xml:space="preserve"> who made</w:t>
      </w:r>
      <w:r w:rsidR="00874E64" w:rsidRPr="00AB1652">
        <w:rPr>
          <w:sz w:val="20"/>
        </w:rPr>
        <w:t xml:space="preserve"> a complaint</w:t>
      </w:r>
      <w:r w:rsidR="00C05750" w:rsidRPr="00AB1652">
        <w:rPr>
          <w:sz w:val="20"/>
        </w:rPr>
        <w:t xml:space="preserve"> closed </w:t>
      </w:r>
      <w:r w:rsidR="00965748" w:rsidRPr="00AB1652">
        <w:rPr>
          <w:sz w:val="20"/>
        </w:rPr>
        <w:t xml:space="preserve">during </w:t>
      </w:r>
      <w:r w:rsidR="006827AB">
        <w:rPr>
          <w:sz w:val="20"/>
        </w:rPr>
        <w:t xml:space="preserve">each quarter of </w:t>
      </w:r>
      <w:r w:rsidR="00B52CBD" w:rsidRPr="00AB1652">
        <w:rPr>
          <w:sz w:val="20"/>
        </w:rPr>
        <w:t>201</w:t>
      </w:r>
      <w:r w:rsidR="00DC5721">
        <w:rPr>
          <w:sz w:val="20"/>
        </w:rPr>
        <w:t>8</w:t>
      </w:r>
      <w:r w:rsidR="00C411A7">
        <w:rPr>
          <w:sz w:val="20"/>
        </w:rPr>
        <w:t>/201</w:t>
      </w:r>
      <w:r w:rsidR="00DC5721">
        <w:rPr>
          <w:sz w:val="20"/>
        </w:rPr>
        <w:t>9</w:t>
      </w:r>
      <w:r w:rsidR="005B0E6C" w:rsidRPr="00AB1652">
        <w:rPr>
          <w:sz w:val="20"/>
        </w:rPr>
        <w:t>, with trends from previous surveys</w:t>
      </w:r>
      <w:r w:rsidR="005F358C">
        <w:rPr>
          <w:sz w:val="20"/>
        </w:rPr>
        <w:t>;</w:t>
      </w:r>
    </w:p>
    <w:p w:rsidR="005F358C" w:rsidRDefault="005F358C" w:rsidP="00B52CBD">
      <w:pPr>
        <w:tabs>
          <w:tab w:val="left" w:pos="720"/>
        </w:tabs>
        <w:ind w:left="1440" w:hanging="720"/>
        <w:jc w:val="both"/>
        <w:rPr>
          <w:sz w:val="20"/>
        </w:rPr>
      </w:pPr>
    </w:p>
    <w:p w:rsidR="005F358C" w:rsidRPr="00AB1652" w:rsidRDefault="005F358C" w:rsidP="005F358C">
      <w:pPr>
        <w:tabs>
          <w:tab w:val="left" w:pos="720"/>
        </w:tabs>
        <w:ind w:left="1418" w:hanging="698"/>
        <w:jc w:val="both"/>
        <w:rPr>
          <w:sz w:val="20"/>
        </w:rPr>
      </w:pPr>
      <w:r>
        <w:rPr>
          <w:sz w:val="20"/>
        </w:rPr>
        <w:t>(d)</w:t>
      </w:r>
      <w:r>
        <w:rPr>
          <w:sz w:val="20"/>
        </w:rPr>
        <w:tab/>
        <w:t>the information on compliments received through the website.</w:t>
      </w:r>
    </w:p>
    <w:p w:rsidR="0052604C" w:rsidRPr="00AB1652" w:rsidRDefault="0052604C" w:rsidP="00293229">
      <w:pPr>
        <w:tabs>
          <w:tab w:val="left" w:pos="720"/>
        </w:tabs>
        <w:ind w:left="1440" w:hanging="1440"/>
        <w:jc w:val="both"/>
        <w:rPr>
          <w:sz w:val="20"/>
        </w:rPr>
      </w:pPr>
    </w:p>
    <w:p w:rsidR="00405033" w:rsidRPr="00AB1652" w:rsidRDefault="00405033" w:rsidP="00293229">
      <w:pPr>
        <w:tabs>
          <w:tab w:val="left" w:pos="720"/>
        </w:tabs>
        <w:ind w:left="1440" w:hanging="1440"/>
        <w:jc w:val="both"/>
        <w:rPr>
          <w:sz w:val="20"/>
        </w:rPr>
      </w:pPr>
    </w:p>
    <w:p w:rsidR="000D2779" w:rsidRPr="00C411A7" w:rsidRDefault="003A7BA2" w:rsidP="00A70EA6">
      <w:pPr>
        <w:tabs>
          <w:tab w:val="left" w:pos="720"/>
        </w:tabs>
        <w:ind w:left="1440" w:hanging="1440"/>
        <w:jc w:val="both"/>
        <w:rPr>
          <w:rFonts w:cs="Arial"/>
          <w:b/>
          <w:bCs/>
          <w:sz w:val="20"/>
        </w:rPr>
      </w:pPr>
      <w:r w:rsidRPr="00C411A7">
        <w:rPr>
          <w:b/>
          <w:sz w:val="20"/>
        </w:rPr>
        <w:t>3.</w:t>
      </w:r>
      <w:r w:rsidRPr="00C411A7">
        <w:rPr>
          <w:b/>
          <w:sz w:val="20"/>
        </w:rPr>
        <w:tab/>
      </w:r>
      <w:r w:rsidR="000D2779" w:rsidRPr="00C411A7">
        <w:rPr>
          <w:rFonts w:cs="Arial"/>
          <w:b/>
          <w:bCs/>
          <w:sz w:val="20"/>
        </w:rPr>
        <w:t>FINANCIAL IMPLICATIONS</w:t>
      </w:r>
    </w:p>
    <w:p w:rsidR="000D2779" w:rsidRPr="00AB1652" w:rsidRDefault="000D2779" w:rsidP="007954C1">
      <w:pPr>
        <w:jc w:val="both"/>
        <w:rPr>
          <w:rFonts w:cs="Arial"/>
          <w:bCs/>
          <w:sz w:val="20"/>
        </w:rPr>
      </w:pPr>
    </w:p>
    <w:p w:rsidR="00C82171" w:rsidRPr="00AB1652" w:rsidRDefault="00A47C46" w:rsidP="00B52CBD">
      <w:pPr>
        <w:ind w:left="1440" w:hanging="720"/>
        <w:jc w:val="both"/>
        <w:rPr>
          <w:rFonts w:cs="Arial"/>
          <w:bCs/>
          <w:sz w:val="20"/>
        </w:rPr>
      </w:pPr>
      <w:r w:rsidRPr="00AB1652">
        <w:rPr>
          <w:rFonts w:cs="Arial"/>
          <w:bCs/>
          <w:sz w:val="20"/>
        </w:rPr>
        <w:t>None.</w:t>
      </w:r>
    </w:p>
    <w:p w:rsidR="00A47C46" w:rsidRPr="00AB1652" w:rsidRDefault="00A47C46" w:rsidP="007954C1">
      <w:pPr>
        <w:ind w:left="720" w:hanging="720"/>
        <w:jc w:val="both"/>
        <w:rPr>
          <w:rFonts w:cs="Arial"/>
          <w:sz w:val="20"/>
        </w:rPr>
      </w:pPr>
    </w:p>
    <w:p w:rsidR="00405033" w:rsidRPr="00AB1652" w:rsidRDefault="00405033" w:rsidP="007954C1">
      <w:pPr>
        <w:ind w:left="720" w:hanging="720"/>
        <w:jc w:val="both"/>
        <w:rPr>
          <w:rFonts w:cs="Arial"/>
          <w:sz w:val="20"/>
        </w:rPr>
      </w:pPr>
    </w:p>
    <w:p w:rsidR="00A47C46" w:rsidRPr="00C411A7" w:rsidRDefault="00A47C46" w:rsidP="007954C1">
      <w:pPr>
        <w:ind w:left="720" w:hanging="720"/>
        <w:jc w:val="both"/>
        <w:rPr>
          <w:rFonts w:cs="Arial"/>
          <w:b/>
          <w:sz w:val="20"/>
        </w:rPr>
      </w:pPr>
      <w:r w:rsidRPr="00C411A7">
        <w:rPr>
          <w:rFonts w:cs="Arial"/>
          <w:b/>
          <w:sz w:val="20"/>
        </w:rPr>
        <w:t>4.</w:t>
      </w:r>
      <w:r w:rsidRPr="00C411A7">
        <w:rPr>
          <w:rFonts w:cs="Arial"/>
          <w:b/>
          <w:sz w:val="20"/>
        </w:rPr>
        <w:tab/>
      </w:r>
      <w:r w:rsidR="007360B4" w:rsidRPr="00C411A7">
        <w:rPr>
          <w:rFonts w:cs="Arial"/>
          <w:b/>
          <w:sz w:val="20"/>
        </w:rPr>
        <w:t>BACKGROUND</w:t>
      </w:r>
    </w:p>
    <w:p w:rsidR="007360B4" w:rsidRPr="00AB1652" w:rsidRDefault="007360B4" w:rsidP="007954C1">
      <w:pPr>
        <w:ind w:left="720" w:hanging="720"/>
        <w:jc w:val="both"/>
        <w:rPr>
          <w:rFonts w:cs="Arial"/>
          <w:sz w:val="20"/>
        </w:rPr>
      </w:pPr>
    </w:p>
    <w:p w:rsidR="007360B4" w:rsidRPr="00AB1652" w:rsidRDefault="007360B4" w:rsidP="007954C1">
      <w:pPr>
        <w:ind w:left="720" w:hanging="720"/>
        <w:jc w:val="both"/>
        <w:rPr>
          <w:rFonts w:cs="Arial"/>
          <w:sz w:val="20"/>
        </w:rPr>
      </w:pPr>
      <w:r w:rsidRPr="00AB1652">
        <w:rPr>
          <w:rFonts w:cs="Arial"/>
          <w:sz w:val="20"/>
        </w:rPr>
        <w:t>4.1</w:t>
      </w:r>
      <w:r w:rsidRPr="00AB1652">
        <w:rPr>
          <w:rFonts w:cs="Arial"/>
          <w:sz w:val="20"/>
        </w:rPr>
        <w:tab/>
        <w:t>Since 1 October 2012, the Coun</w:t>
      </w:r>
      <w:r w:rsidR="00874E64" w:rsidRPr="00AB1652">
        <w:rPr>
          <w:rFonts w:cs="Arial"/>
          <w:sz w:val="20"/>
        </w:rPr>
        <w:t xml:space="preserve">cil has been operating the </w:t>
      </w:r>
      <w:r w:rsidR="001D48F6" w:rsidRPr="00AB1652">
        <w:rPr>
          <w:rFonts w:cs="Arial"/>
          <w:sz w:val="20"/>
        </w:rPr>
        <w:t>m</w:t>
      </w:r>
      <w:r w:rsidRPr="00AB1652">
        <w:rPr>
          <w:rFonts w:cs="Arial"/>
          <w:sz w:val="20"/>
        </w:rPr>
        <w:t xml:space="preserve">odel Complaints Handling </w:t>
      </w:r>
      <w:r w:rsidR="00C0487F" w:rsidRPr="00AB1652">
        <w:rPr>
          <w:rFonts w:cs="Arial"/>
          <w:sz w:val="20"/>
        </w:rPr>
        <w:t xml:space="preserve">Procedure </w:t>
      </w:r>
      <w:r w:rsidR="00033184" w:rsidRPr="00AB1652">
        <w:rPr>
          <w:rFonts w:cs="Arial"/>
          <w:sz w:val="20"/>
        </w:rPr>
        <w:t xml:space="preserve">for Local Authorities </w:t>
      </w:r>
      <w:r w:rsidRPr="00AB1652">
        <w:rPr>
          <w:rFonts w:cs="Arial"/>
          <w:sz w:val="20"/>
        </w:rPr>
        <w:t>as required by the Sco</w:t>
      </w:r>
      <w:r w:rsidR="007D5D73" w:rsidRPr="00AB1652">
        <w:rPr>
          <w:rFonts w:cs="Arial"/>
          <w:sz w:val="20"/>
        </w:rPr>
        <w:t>ttish Public Services Om</w:t>
      </w:r>
      <w:r w:rsidR="00F12A34" w:rsidRPr="00AB1652">
        <w:rPr>
          <w:rFonts w:cs="Arial"/>
          <w:sz w:val="20"/>
        </w:rPr>
        <w:t xml:space="preserve">budsman. </w:t>
      </w:r>
      <w:r w:rsidR="00333A7B" w:rsidRPr="00AB1652">
        <w:rPr>
          <w:rFonts w:cs="Arial"/>
          <w:sz w:val="20"/>
        </w:rPr>
        <w:t xml:space="preserve"> Part of that procedure is</w:t>
      </w:r>
      <w:r w:rsidR="00F12A34" w:rsidRPr="00AB1652">
        <w:rPr>
          <w:rFonts w:cs="Arial"/>
          <w:sz w:val="20"/>
        </w:rPr>
        <w:t xml:space="preserve"> that </w:t>
      </w:r>
      <w:r w:rsidR="00965748" w:rsidRPr="00AB1652">
        <w:rPr>
          <w:rFonts w:cs="Arial"/>
          <w:sz w:val="20"/>
        </w:rPr>
        <w:t>regular</w:t>
      </w:r>
      <w:r w:rsidR="00F12A34" w:rsidRPr="00AB1652">
        <w:rPr>
          <w:rFonts w:cs="Arial"/>
          <w:sz w:val="20"/>
        </w:rPr>
        <w:t xml:space="preserve"> rep</w:t>
      </w:r>
      <w:r w:rsidR="00417BE7" w:rsidRPr="00AB1652">
        <w:rPr>
          <w:rFonts w:cs="Arial"/>
          <w:sz w:val="20"/>
        </w:rPr>
        <w:t>orts are produced for the Council’s</w:t>
      </w:r>
      <w:r w:rsidR="006F0973" w:rsidRPr="00AB1652">
        <w:rPr>
          <w:rFonts w:cs="Arial"/>
          <w:sz w:val="20"/>
        </w:rPr>
        <w:t xml:space="preserve"> management team and elected members.</w:t>
      </w:r>
    </w:p>
    <w:p w:rsidR="0052604C" w:rsidRPr="00AB1652" w:rsidRDefault="0052604C" w:rsidP="007954C1">
      <w:pPr>
        <w:ind w:left="720" w:hanging="720"/>
        <w:jc w:val="both"/>
        <w:rPr>
          <w:rFonts w:cs="Arial"/>
          <w:sz w:val="20"/>
        </w:rPr>
      </w:pPr>
    </w:p>
    <w:p w:rsidR="001F2A90" w:rsidRPr="00AB1652" w:rsidRDefault="007D5D73" w:rsidP="007954C1">
      <w:pPr>
        <w:ind w:left="720" w:hanging="720"/>
        <w:jc w:val="both"/>
        <w:rPr>
          <w:rFonts w:cs="Arial"/>
          <w:sz w:val="20"/>
        </w:rPr>
      </w:pPr>
      <w:r w:rsidRPr="00AB1652">
        <w:rPr>
          <w:rFonts w:cs="Arial"/>
          <w:sz w:val="20"/>
        </w:rPr>
        <w:t>4.2</w:t>
      </w:r>
      <w:r w:rsidR="007B30B3" w:rsidRPr="00AB1652">
        <w:rPr>
          <w:rFonts w:cs="Arial"/>
          <w:sz w:val="20"/>
        </w:rPr>
        <w:tab/>
        <w:t>This</w:t>
      </w:r>
      <w:r w:rsidR="00A70EA6" w:rsidRPr="00AB1652">
        <w:rPr>
          <w:rFonts w:cs="Arial"/>
          <w:sz w:val="20"/>
        </w:rPr>
        <w:t xml:space="preserve"> </w:t>
      </w:r>
      <w:r w:rsidR="00874E64" w:rsidRPr="00AB1652">
        <w:rPr>
          <w:rFonts w:cs="Arial"/>
          <w:sz w:val="20"/>
        </w:rPr>
        <w:t xml:space="preserve">latest </w:t>
      </w:r>
      <w:r w:rsidR="00A70EA6" w:rsidRPr="00AB1652">
        <w:rPr>
          <w:rFonts w:cs="Arial"/>
          <w:sz w:val="20"/>
        </w:rPr>
        <w:t>r</w:t>
      </w:r>
      <w:r w:rsidR="007360B4" w:rsidRPr="00AB1652">
        <w:rPr>
          <w:rFonts w:cs="Arial"/>
          <w:sz w:val="20"/>
        </w:rPr>
        <w:t>eport</w:t>
      </w:r>
      <w:r w:rsidR="00F2175C" w:rsidRPr="00AB1652">
        <w:rPr>
          <w:rFonts w:cs="Arial"/>
          <w:sz w:val="20"/>
        </w:rPr>
        <w:t xml:space="preserve"> </w:t>
      </w:r>
      <w:r w:rsidR="00A70EA6" w:rsidRPr="00AB1652">
        <w:rPr>
          <w:rFonts w:cs="Arial"/>
          <w:sz w:val="20"/>
        </w:rPr>
        <w:t>covers complai</w:t>
      </w:r>
      <w:r w:rsidRPr="00AB1652">
        <w:rPr>
          <w:rFonts w:cs="Arial"/>
          <w:sz w:val="20"/>
        </w:rPr>
        <w:t>nts cl</w:t>
      </w:r>
      <w:r w:rsidR="00C05750" w:rsidRPr="00AB1652">
        <w:rPr>
          <w:rFonts w:cs="Arial"/>
          <w:sz w:val="20"/>
        </w:rPr>
        <w:t xml:space="preserve">osed during the </w:t>
      </w:r>
      <w:r w:rsidR="00965748" w:rsidRPr="00AB1652">
        <w:rPr>
          <w:rFonts w:cs="Arial"/>
          <w:sz w:val="20"/>
        </w:rPr>
        <w:t>year</w:t>
      </w:r>
      <w:r w:rsidR="00C05750" w:rsidRPr="00AB1652">
        <w:rPr>
          <w:rFonts w:cs="Arial"/>
          <w:sz w:val="20"/>
        </w:rPr>
        <w:t xml:space="preserve"> from 1 </w:t>
      </w:r>
      <w:r w:rsidR="00965748" w:rsidRPr="00AB1652">
        <w:rPr>
          <w:rFonts w:cs="Arial"/>
          <w:sz w:val="20"/>
        </w:rPr>
        <w:t>April 201</w:t>
      </w:r>
      <w:r w:rsidR="00DC5721">
        <w:rPr>
          <w:rFonts w:cs="Arial"/>
          <w:sz w:val="20"/>
        </w:rPr>
        <w:t>8</w:t>
      </w:r>
      <w:r w:rsidR="00C55035" w:rsidRPr="00AB1652">
        <w:rPr>
          <w:rFonts w:cs="Arial"/>
          <w:sz w:val="20"/>
        </w:rPr>
        <w:t xml:space="preserve"> to</w:t>
      </w:r>
      <w:r w:rsidR="000127A5">
        <w:rPr>
          <w:rFonts w:cs="Arial"/>
          <w:sz w:val="20"/>
        </w:rPr>
        <w:t xml:space="preserve"> 31 March 201</w:t>
      </w:r>
      <w:r w:rsidR="00DC5721">
        <w:rPr>
          <w:rFonts w:cs="Arial"/>
          <w:sz w:val="20"/>
        </w:rPr>
        <w:t>9</w:t>
      </w:r>
      <w:r w:rsidR="00D82BBD" w:rsidRPr="00AB1652">
        <w:rPr>
          <w:rFonts w:cs="Arial"/>
          <w:sz w:val="20"/>
        </w:rPr>
        <w:t xml:space="preserve">, </w:t>
      </w:r>
      <w:r w:rsidR="00FC58D0" w:rsidRPr="00AB1652">
        <w:rPr>
          <w:rFonts w:cs="Arial"/>
          <w:sz w:val="20"/>
        </w:rPr>
        <w:t xml:space="preserve">and includes </w:t>
      </w:r>
      <w:r w:rsidR="007360B4" w:rsidRPr="00AB1652">
        <w:rPr>
          <w:rFonts w:cs="Arial"/>
          <w:sz w:val="20"/>
        </w:rPr>
        <w:t>perfo</w:t>
      </w:r>
      <w:r w:rsidR="00F2175C" w:rsidRPr="00AB1652">
        <w:rPr>
          <w:rFonts w:cs="Arial"/>
          <w:sz w:val="20"/>
        </w:rPr>
        <w:t xml:space="preserve">rmance </w:t>
      </w:r>
      <w:r w:rsidR="00033184" w:rsidRPr="00AB1652">
        <w:rPr>
          <w:rFonts w:cs="Arial"/>
          <w:sz w:val="20"/>
        </w:rPr>
        <w:t xml:space="preserve">on key </w:t>
      </w:r>
      <w:r w:rsidR="00F2175C" w:rsidRPr="00AB1652">
        <w:rPr>
          <w:rFonts w:cs="Arial"/>
          <w:sz w:val="20"/>
        </w:rPr>
        <w:t xml:space="preserve">indicators as well as </w:t>
      </w:r>
      <w:r w:rsidR="00033184" w:rsidRPr="00AB1652">
        <w:rPr>
          <w:rFonts w:cs="Arial"/>
          <w:sz w:val="20"/>
        </w:rPr>
        <w:t xml:space="preserve">the </w:t>
      </w:r>
      <w:r w:rsidR="00F2175C" w:rsidRPr="00AB1652">
        <w:rPr>
          <w:rFonts w:cs="Arial"/>
          <w:sz w:val="20"/>
        </w:rPr>
        <w:t>results of the</w:t>
      </w:r>
      <w:r w:rsidR="007360B4" w:rsidRPr="00AB1652">
        <w:rPr>
          <w:rFonts w:cs="Arial"/>
          <w:sz w:val="20"/>
        </w:rPr>
        <w:t xml:space="preserve"> satisfaction survey</w:t>
      </w:r>
      <w:r w:rsidR="006827AB">
        <w:rPr>
          <w:rFonts w:cs="Arial"/>
          <w:sz w:val="20"/>
        </w:rPr>
        <w:t>s</w:t>
      </w:r>
      <w:r w:rsidR="007360B4" w:rsidRPr="00AB1652">
        <w:rPr>
          <w:rFonts w:cs="Arial"/>
          <w:sz w:val="20"/>
        </w:rPr>
        <w:t xml:space="preserve"> sent to all</w:t>
      </w:r>
      <w:r w:rsidR="00C0487F" w:rsidRPr="00AB1652">
        <w:rPr>
          <w:rFonts w:cs="Arial"/>
          <w:sz w:val="20"/>
        </w:rPr>
        <w:t xml:space="preserve"> those who made complaints </w:t>
      </w:r>
      <w:r w:rsidR="005B0E6C" w:rsidRPr="00AB1652">
        <w:rPr>
          <w:rFonts w:cs="Arial"/>
          <w:sz w:val="20"/>
        </w:rPr>
        <w:t xml:space="preserve">closed during </w:t>
      </w:r>
      <w:r w:rsidR="006827AB">
        <w:rPr>
          <w:rFonts w:cs="Arial"/>
          <w:sz w:val="20"/>
        </w:rPr>
        <w:t>each quarter</w:t>
      </w:r>
      <w:r w:rsidR="005B0E6C" w:rsidRPr="00AB1652">
        <w:rPr>
          <w:rFonts w:cs="Arial"/>
          <w:sz w:val="20"/>
        </w:rPr>
        <w:t>, with charts showing the trends compared to previous periods.</w:t>
      </w:r>
    </w:p>
    <w:p w:rsidR="00B52CBD" w:rsidRPr="00AB1652" w:rsidRDefault="00B52CBD" w:rsidP="007954C1">
      <w:pPr>
        <w:ind w:left="720" w:hanging="720"/>
        <w:jc w:val="both"/>
        <w:rPr>
          <w:rFonts w:cs="Arial"/>
          <w:sz w:val="20"/>
        </w:rPr>
      </w:pPr>
    </w:p>
    <w:p w:rsidR="007360B4" w:rsidRPr="00AB1652" w:rsidRDefault="007D5D73" w:rsidP="007954C1">
      <w:pPr>
        <w:ind w:left="720" w:hanging="720"/>
        <w:jc w:val="both"/>
        <w:rPr>
          <w:rFonts w:cs="Arial"/>
          <w:sz w:val="20"/>
        </w:rPr>
      </w:pPr>
      <w:r w:rsidRPr="00AB1652">
        <w:rPr>
          <w:rFonts w:cs="Arial"/>
          <w:sz w:val="20"/>
        </w:rPr>
        <w:t>4.3</w:t>
      </w:r>
      <w:r w:rsidR="00A34AF2" w:rsidRPr="00AB1652">
        <w:rPr>
          <w:rFonts w:cs="Arial"/>
          <w:sz w:val="20"/>
        </w:rPr>
        <w:tab/>
      </w:r>
      <w:r w:rsidR="00743059" w:rsidRPr="00AB1652">
        <w:rPr>
          <w:rFonts w:cs="Arial"/>
          <w:sz w:val="20"/>
        </w:rPr>
        <w:t xml:space="preserve">The report </w:t>
      </w:r>
      <w:r w:rsidR="006F0973" w:rsidRPr="00AB1652">
        <w:rPr>
          <w:rFonts w:cs="Arial"/>
          <w:sz w:val="20"/>
        </w:rPr>
        <w:t xml:space="preserve">also updates Committee </w:t>
      </w:r>
      <w:r w:rsidR="002B36C7" w:rsidRPr="00AB1652">
        <w:rPr>
          <w:rFonts w:cs="Arial"/>
          <w:sz w:val="20"/>
        </w:rPr>
        <w:t>on the work of the Complaints Review Group which meet</w:t>
      </w:r>
      <w:r w:rsidR="00354E71" w:rsidRPr="00AB1652">
        <w:rPr>
          <w:rFonts w:cs="Arial"/>
          <w:sz w:val="20"/>
        </w:rPr>
        <w:t xml:space="preserve">s </w:t>
      </w:r>
      <w:r w:rsidR="00F128C5" w:rsidRPr="00AB1652">
        <w:rPr>
          <w:rFonts w:cs="Arial"/>
          <w:sz w:val="20"/>
        </w:rPr>
        <w:t xml:space="preserve">quarterly </w:t>
      </w:r>
      <w:r w:rsidR="00354E71" w:rsidRPr="00AB1652">
        <w:rPr>
          <w:rFonts w:cs="Arial"/>
          <w:sz w:val="20"/>
        </w:rPr>
        <w:t xml:space="preserve">to check that </w:t>
      </w:r>
      <w:r w:rsidR="002B36C7" w:rsidRPr="00AB1652">
        <w:rPr>
          <w:rFonts w:cs="Arial"/>
          <w:sz w:val="20"/>
        </w:rPr>
        <w:t>the complaints handling procedure</w:t>
      </w:r>
      <w:r w:rsidR="00354E71" w:rsidRPr="00AB1652">
        <w:rPr>
          <w:rFonts w:cs="Arial"/>
          <w:sz w:val="20"/>
        </w:rPr>
        <w:t xml:space="preserve"> is being followed correctly</w:t>
      </w:r>
      <w:r w:rsidR="002B36C7" w:rsidRPr="00AB1652">
        <w:rPr>
          <w:rFonts w:cs="Arial"/>
          <w:sz w:val="20"/>
        </w:rPr>
        <w:t xml:space="preserve"> and </w:t>
      </w:r>
      <w:r w:rsidR="00033184" w:rsidRPr="00AB1652">
        <w:rPr>
          <w:rFonts w:cs="Arial"/>
          <w:sz w:val="20"/>
        </w:rPr>
        <w:t xml:space="preserve">to </w:t>
      </w:r>
      <w:r w:rsidR="002B36C7" w:rsidRPr="00AB1652">
        <w:rPr>
          <w:rFonts w:cs="Arial"/>
          <w:sz w:val="20"/>
        </w:rPr>
        <w:t xml:space="preserve">promote learning </w:t>
      </w:r>
      <w:r w:rsidR="000127A5">
        <w:rPr>
          <w:rFonts w:cs="Arial"/>
          <w:sz w:val="20"/>
        </w:rPr>
        <w:t>from complaints and ensure that the intelligence and insight gathered from complaints is translated into</w:t>
      </w:r>
      <w:r w:rsidR="004443B8" w:rsidRPr="00AB1652">
        <w:rPr>
          <w:rFonts w:cs="Arial"/>
          <w:sz w:val="20"/>
        </w:rPr>
        <w:t xml:space="preserve"> process improvement</w:t>
      </w:r>
      <w:r w:rsidR="000127A5">
        <w:rPr>
          <w:rFonts w:cs="Arial"/>
          <w:sz w:val="20"/>
        </w:rPr>
        <w:t>s</w:t>
      </w:r>
      <w:r w:rsidR="002B36C7" w:rsidRPr="00AB1652">
        <w:rPr>
          <w:rFonts w:cs="Arial"/>
          <w:sz w:val="20"/>
        </w:rPr>
        <w:t>.</w:t>
      </w:r>
    </w:p>
    <w:p w:rsidR="00AA6C80" w:rsidRDefault="00AA6C80">
      <w:pPr>
        <w:rPr>
          <w:rFonts w:cs="Arial"/>
          <w:sz w:val="20"/>
        </w:rPr>
      </w:pPr>
      <w:r>
        <w:rPr>
          <w:rFonts w:cs="Arial"/>
          <w:sz w:val="20"/>
        </w:rPr>
        <w:br w:type="page"/>
      </w:r>
    </w:p>
    <w:p w:rsidR="005F358C" w:rsidRDefault="00965748" w:rsidP="007954C1">
      <w:pPr>
        <w:ind w:left="720" w:hanging="720"/>
        <w:jc w:val="both"/>
        <w:rPr>
          <w:rFonts w:cs="Arial"/>
          <w:sz w:val="20"/>
        </w:rPr>
      </w:pPr>
      <w:r w:rsidRPr="00AB1652">
        <w:rPr>
          <w:rFonts w:cs="Arial"/>
          <w:sz w:val="20"/>
        </w:rPr>
        <w:lastRenderedPageBreak/>
        <w:t>4.4</w:t>
      </w:r>
      <w:r w:rsidRPr="00AB1652">
        <w:rPr>
          <w:rFonts w:cs="Arial"/>
          <w:sz w:val="20"/>
        </w:rPr>
        <w:tab/>
      </w:r>
      <w:r w:rsidR="002803E4">
        <w:rPr>
          <w:rFonts w:cs="Arial"/>
          <w:sz w:val="20"/>
        </w:rPr>
        <w:t>The aim of this report is to analyse performance where people have used the Council’s complaints process.  There has been discussion previously at Committee about issued raised with Councillors,</w:t>
      </w:r>
      <w:r w:rsidR="005F358C">
        <w:rPr>
          <w:rFonts w:cs="Arial"/>
          <w:sz w:val="20"/>
        </w:rPr>
        <w:t xml:space="preserve"> rather than through the complaints system,</w:t>
      </w:r>
      <w:r w:rsidR="002803E4">
        <w:rPr>
          <w:rFonts w:cs="Arial"/>
          <w:sz w:val="20"/>
        </w:rPr>
        <w:t xml:space="preserve"> and paragraph 6.</w:t>
      </w:r>
      <w:r w:rsidR="00FC0197">
        <w:rPr>
          <w:rFonts w:cs="Arial"/>
          <w:sz w:val="20"/>
        </w:rPr>
        <w:t>9</w:t>
      </w:r>
      <w:r w:rsidR="002803E4">
        <w:rPr>
          <w:rFonts w:cs="Arial"/>
          <w:sz w:val="20"/>
        </w:rPr>
        <w:t xml:space="preserve"> of this report provides information</w:t>
      </w:r>
      <w:r w:rsidR="005F358C">
        <w:rPr>
          <w:rFonts w:cs="Arial"/>
          <w:sz w:val="20"/>
        </w:rPr>
        <w:t xml:space="preserve"> on the latest ‘snapshot’ survey of members aimed at ensuring that useful information from such contacts is captured.</w:t>
      </w:r>
    </w:p>
    <w:p w:rsidR="0069414B" w:rsidRDefault="0069414B" w:rsidP="007954C1">
      <w:pPr>
        <w:ind w:left="720" w:hanging="720"/>
        <w:jc w:val="both"/>
        <w:rPr>
          <w:rFonts w:cs="Arial"/>
          <w:sz w:val="20"/>
        </w:rPr>
      </w:pPr>
    </w:p>
    <w:p w:rsidR="005F358C" w:rsidRPr="00AB1652" w:rsidRDefault="005F358C" w:rsidP="007954C1">
      <w:pPr>
        <w:ind w:left="720" w:hanging="720"/>
        <w:jc w:val="both"/>
        <w:rPr>
          <w:rFonts w:cs="Arial"/>
          <w:sz w:val="20"/>
        </w:rPr>
      </w:pPr>
      <w:r>
        <w:rPr>
          <w:rFonts w:cs="Arial"/>
          <w:sz w:val="20"/>
        </w:rPr>
        <w:t>4.5</w:t>
      </w:r>
      <w:r>
        <w:rPr>
          <w:rFonts w:cs="Arial"/>
          <w:sz w:val="20"/>
        </w:rPr>
        <w:tab/>
        <w:t xml:space="preserve">This report also provides information on compliments </w:t>
      </w:r>
      <w:r w:rsidR="0069414B">
        <w:rPr>
          <w:rFonts w:cs="Arial"/>
          <w:sz w:val="20"/>
        </w:rPr>
        <w:t>received from service users who have used the</w:t>
      </w:r>
      <w:r w:rsidR="00AF2F46">
        <w:rPr>
          <w:rFonts w:cs="Arial"/>
          <w:sz w:val="20"/>
        </w:rPr>
        <w:t xml:space="preserve"> ‘tell us about good service’</w:t>
      </w:r>
      <w:r w:rsidR="0069414B">
        <w:rPr>
          <w:rFonts w:cs="Arial"/>
          <w:sz w:val="20"/>
        </w:rPr>
        <w:t xml:space="preserve"> form on the Council's website.</w:t>
      </w:r>
    </w:p>
    <w:p w:rsidR="00D6164C" w:rsidRPr="00AB1652" w:rsidRDefault="00D6164C" w:rsidP="007954C1">
      <w:pPr>
        <w:ind w:left="720" w:hanging="720"/>
        <w:jc w:val="both"/>
        <w:rPr>
          <w:rFonts w:cs="Arial"/>
          <w:sz w:val="20"/>
        </w:rPr>
      </w:pPr>
    </w:p>
    <w:p w:rsidR="000127A5" w:rsidRDefault="000127A5">
      <w:pPr>
        <w:rPr>
          <w:rFonts w:cs="Arial"/>
          <w:sz w:val="20"/>
        </w:rPr>
      </w:pPr>
    </w:p>
    <w:p w:rsidR="00BD6F79" w:rsidRPr="00C411A7" w:rsidRDefault="00A70EA6" w:rsidP="00BB2C93">
      <w:pPr>
        <w:rPr>
          <w:rFonts w:cs="Arial"/>
          <w:b/>
          <w:sz w:val="20"/>
        </w:rPr>
      </w:pPr>
      <w:r w:rsidRPr="00C411A7">
        <w:rPr>
          <w:rFonts w:cs="Arial"/>
          <w:b/>
          <w:sz w:val="20"/>
        </w:rPr>
        <w:t>5.</w:t>
      </w:r>
      <w:r w:rsidR="00BD6F79" w:rsidRPr="00C411A7">
        <w:rPr>
          <w:rFonts w:cs="Arial"/>
          <w:b/>
          <w:sz w:val="20"/>
        </w:rPr>
        <w:tab/>
      </w:r>
      <w:r w:rsidR="00BC1FCA" w:rsidRPr="00C411A7">
        <w:rPr>
          <w:rFonts w:cs="Arial"/>
          <w:b/>
          <w:sz w:val="20"/>
        </w:rPr>
        <w:t>COMPLAINTS STATISTICS</w:t>
      </w:r>
      <w:r w:rsidR="00C05750" w:rsidRPr="00C411A7">
        <w:rPr>
          <w:rFonts w:cs="Arial"/>
          <w:b/>
          <w:sz w:val="20"/>
        </w:rPr>
        <w:t xml:space="preserve">: </w:t>
      </w:r>
      <w:r w:rsidR="0069414B">
        <w:rPr>
          <w:rFonts w:cs="Arial"/>
          <w:b/>
          <w:sz w:val="20"/>
        </w:rPr>
        <w:t xml:space="preserve"> </w:t>
      </w:r>
      <w:r w:rsidR="00C05750" w:rsidRPr="00C411A7">
        <w:rPr>
          <w:rFonts w:cs="Arial"/>
          <w:b/>
          <w:sz w:val="20"/>
        </w:rPr>
        <w:t xml:space="preserve">1 </w:t>
      </w:r>
      <w:r w:rsidR="00965748" w:rsidRPr="00C411A7">
        <w:rPr>
          <w:rFonts w:cs="Arial"/>
          <w:b/>
          <w:sz w:val="20"/>
        </w:rPr>
        <w:t>APRIL</w:t>
      </w:r>
      <w:r w:rsidR="00BB2C93" w:rsidRPr="00C411A7">
        <w:rPr>
          <w:rFonts w:cs="Arial"/>
          <w:b/>
          <w:sz w:val="20"/>
        </w:rPr>
        <w:t xml:space="preserve"> 201</w:t>
      </w:r>
      <w:r w:rsidR="00DC5721">
        <w:rPr>
          <w:rFonts w:cs="Arial"/>
          <w:b/>
          <w:sz w:val="20"/>
        </w:rPr>
        <w:t>8</w:t>
      </w:r>
      <w:r w:rsidR="00B52CBD" w:rsidRPr="00C411A7">
        <w:rPr>
          <w:rFonts w:cs="Arial"/>
          <w:b/>
          <w:sz w:val="20"/>
        </w:rPr>
        <w:t xml:space="preserve"> </w:t>
      </w:r>
      <w:r w:rsidR="00EA5DC8" w:rsidRPr="00C411A7">
        <w:rPr>
          <w:rFonts w:cs="Arial"/>
          <w:b/>
          <w:sz w:val="20"/>
        </w:rPr>
        <w:t>-</w:t>
      </w:r>
      <w:r w:rsidR="00B52CBD" w:rsidRPr="00C411A7">
        <w:rPr>
          <w:rFonts w:cs="Arial"/>
          <w:b/>
          <w:sz w:val="20"/>
        </w:rPr>
        <w:t xml:space="preserve"> 3</w:t>
      </w:r>
      <w:r w:rsidR="000127A5" w:rsidRPr="00C411A7">
        <w:rPr>
          <w:rFonts w:cs="Arial"/>
          <w:b/>
          <w:sz w:val="20"/>
        </w:rPr>
        <w:t>1</w:t>
      </w:r>
      <w:r w:rsidR="00DC5721">
        <w:rPr>
          <w:rFonts w:cs="Arial"/>
          <w:b/>
          <w:sz w:val="20"/>
        </w:rPr>
        <w:t xml:space="preserve"> MARCH 2019</w:t>
      </w:r>
    </w:p>
    <w:p w:rsidR="00BD6F79" w:rsidRPr="00AB1652" w:rsidRDefault="00BD6F79" w:rsidP="00BD6F79">
      <w:pPr>
        <w:ind w:left="720" w:hanging="720"/>
        <w:jc w:val="both"/>
        <w:rPr>
          <w:rFonts w:cs="Arial"/>
          <w:sz w:val="20"/>
        </w:rPr>
      </w:pPr>
    </w:p>
    <w:p w:rsidR="00BD6F79" w:rsidRPr="00AB1652" w:rsidRDefault="007360B4" w:rsidP="00BD6F79">
      <w:pPr>
        <w:ind w:left="720" w:hanging="720"/>
        <w:jc w:val="both"/>
        <w:rPr>
          <w:rFonts w:cs="Arial"/>
          <w:sz w:val="20"/>
        </w:rPr>
      </w:pPr>
      <w:r w:rsidRPr="00AB1652">
        <w:rPr>
          <w:rFonts w:cs="Arial"/>
          <w:sz w:val="20"/>
        </w:rPr>
        <w:t>5.1</w:t>
      </w:r>
      <w:r w:rsidR="00C0487F" w:rsidRPr="00AB1652">
        <w:rPr>
          <w:rFonts w:cs="Arial"/>
          <w:sz w:val="20"/>
        </w:rPr>
        <w:tab/>
      </w:r>
      <w:r w:rsidR="00BB2C93" w:rsidRPr="00AB1652">
        <w:rPr>
          <w:rFonts w:cs="Arial"/>
          <w:sz w:val="20"/>
        </w:rPr>
        <w:t xml:space="preserve">In </w:t>
      </w:r>
      <w:r w:rsidR="007A4634">
        <w:rPr>
          <w:rFonts w:cs="Arial"/>
          <w:sz w:val="20"/>
        </w:rPr>
        <w:t>201</w:t>
      </w:r>
      <w:r w:rsidR="00DC5721">
        <w:rPr>
          <w:rFonts w:cs="Arial"/>
          <w:sz w:val="20"/>
        </w:rPr>
        <w:t>8/2019</w:t>
      </w:r>
      <w:r w:rsidR="00B52CBD" w:rsidRPr="00AB1652">
        <w:rPr>
          <w:rFonts w:cs="Arial"/>
          <w:sz w:val="20"/>
        </w:rPr>
        <w:t>:</w:t>
      </w:r>
    </w:p>
    <w:p w:rsidR="00EA27A6" w:rsidRDefault="00EA27A6" w:rsidP="00BD6F79">
      <w:pPr>
        <w:ind w:left="720" w:hanging="720"/>
        <w:jc w:val="both"/>
        <w:rPr>
          <w:rFonts w:cs="Arial"/>
          <w:sz w:val="20"/>
        </w:rPr>
      </w:pPr>
    </w:p>
    <w:p w:rsidR="00DD75E6" w:rsidRPr="00AB1652" w:rsidRDefault="00DC5721" w:rsidP="00DD75E6">
      <w:pPr>
        <w:numPr>
          <w:ilvl w:val="0"/>
          <w:numId w:val="3"/>
        </w:numPr>
        <w:jc w:val="both"/>
        <w:rPr>
          <w:rFonts w:cs="Arial"/>
          <w:sz w:val="20"/>
        </w:rPr>
      </w:pPr>
      <w:r>
        <w:rPr>
          <w:rFonts w:cs="Arial"/>
          <w:sz w:val="20"/>
        </w:rPr>
        <w:t>684</w:t>
      </w:r>
      <w:r w:rsidR="00720602" w:rsidRPr="00AB1652">
        <w:rPr>
          <w:rFonts w:cs="Arial"/>
          <w:sz w:val="20"/>
        </w:rPr>
        <w:t xml:space="preserve"> complaints </w:t>
      </w:r>
      <w:r w:rsidR="00720602">
        <w:rPr>
          <w:rFonts w:cs="Arial"/>
          <w:sz w:val="20"/>
        </w:rPr>
        <w:t>were closed</w:t>
      </w:r>
      <w:r w:rsidR="00BD1D0D">
        <w:rPr>
          <w:rFonts w:cs="Arial"/>
          <w:sz w:val="20"/>
        </w:rPr>
        <w:t xml:space="preserve"> (up from 585 last year)</w:t>
      </w:r>
      <w:r w:rsidR="00720602">
        <w:rPr>
          <w:rFonts w:cs="Arial"/>
          <w:sz w:val="20"/>
        </w:rPr>
        <w:t>.</w:t>
      </w:r>
      <w:r w:rsidR="00DD75E6">
        <w:rPr>
          <w:rFonts w:cs="Arial"/>
          <w:sz w:val="20"/>
        </w:rPr>
        <w:t xml:space="preserve">  B</w:t>
      </w:r>
      <w:r w:rsidR="00DD75E6" w:rsidRPr="00AB1652">
        <w:rPr>
          <w:rFonts w:cs="Arial"/>
          <w:sz w:val="20"/>
        </w:rPr>
        <w:t>y service, the number of complain</w:t>
      </w:r>
      <w:r w:rsidR="00DD75E6">
        <w:rPr>
          <w:rFonts w:cs="Arial"/>
          <w:sz w:val="20"/>
        </w:rPr>
        <w:t>ts recorded were</w:t>
      </w:r>
      <w:r w:rsidR="00DD75E6" w:rsidRPr="00AB1652">
        <w:rPr>
          <w:rFonts w:cs="Arial"/>
          <w:sz w:val="20"/>
        </w:rPr>
        <w:t>:</w:t>
      </w:r>
    </w:p>
    <w:p w:rsidR="00DD75E6" w:rsidRPr="00AB1652" w:rsidRDefault="00DD75E6" w:rsidP="00DD75E6">
      <w:pPr>
        <w:ind w:left="720"/>
        <w:jc w:val="both"/>
        <w:rPr>
          <w:rFonts w:cs="Arial"/>
          <w:sz w:val="20"/>
        </w:rPr>
      </w:pPr>
    </w:p>
    <w:tbl>
      <w:tblPr>
        <w:tblStyle w:val="TableGrid"/>
        <w:tblW w:w="8221"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9"/>
        <w:gridCol w:w="284"/>
        <w:gridCol w:w="1314"/>
        <w:gridCol w:w="1134"/>
      </w:tblGrid>
      <w:tr w:rsidR="00E6538A" w:rsidRPr="00C3460D" w:rsidTr="00C3460D">
        <w:tc>
          <w:tcPr>
            <w:tcW w:w="5489" w:type="dxa"/>
          </w:tcPr>
          <w:p w:rsidR="00E6538A" w:rsidRPr="00C3460D" w:rsidRDefault="00E6538A" w:rsidP="00BD1D0D">
            <w:pPr>
              <w:pStyle w:val="ListParagraph"/>
              <w:ind w:left="0"/>
              <w:jc w:val="both"/>
              <w:rPr>
                <w:rFonts w:cs="Arial"/>
                <w:b/>
                <w:sz w:val="20"/>
                <w:u w:val="single"/>
              </w:rPr>
            </w:pPr>
            <w:r w:rsidRPr="00C3460D">
              <w:rPr>
                <w:rFonts w:cs="Arial"/>
                <w:b/>
                <w:sz w:val="20"/>
                <w:u w:val="single"/>
              </w:rPr>
              <w:t>Service</w:t>
            </w:r>
          </w:p>
        </w:tc>
        <w:tc>
          <w:tcPr>
            <w:tcW w:w="284" w:type="dxa"/>
          </w:tcPr>
          <w:p w:rsidR="00E6538A" w:rsidRPr="00C3460D" w:rsidRDefault="00E6538A" w:rsidP="00F02DD2">
            <w:pPr>
              <w:pStyle w:val="ListParagraph"/>
              <w:ind w:left="0"/>
              <w:jc w:val="center"/>
              <w:rPr>
                <w:rFonts w:cs="Arial"/>
                <w:b/>
                <w:sz w:val="20"/>
                <w:u w:val="single"/>
              </w:rPr>
            </w:pPr>
          </w:p>
        </w:tc>
        <w:tc>
          <w:tcPr>
            <w:tcW w:w="1314" w:type="dxa"/>
          </w:tcPr>
          <w:p w:rsidR="00E6538A" w:rsidRPr="00C3460D" w:rsidRDefault="00E6538A" w:rsidP="00F02DD2">
            <w:pPr>
              <w:pStyle w:val="ListParagraph"/>
              <w:ind w:left="0"/>
              <w:jc w:val="center"/>
              <w:rPr>
                <w:rFonts w:cs="Arial"/>
                <w:b/>
                <w:sz w:val="20"/>
                <w:u w:val="single"/>
              </w:rPr>
            </w:pPr>
            <w:r w:rsidRPr="00C3460D">
              <w:rPr>
                <w:rFonts w:cs="Arial"/>
                <w:b/>
                <w:sz w:val="20"/>
                <w:u w:val="single"/>
              </w:rPr>
              <w:t>2018/19</w:t>
            </w:r>
          </w:p>
        </w:tc>
        <w:tc>
          <w:tcPr>
            <w:tcW w:w="1134" w:type="dxa"/>
          </w:tcPr>
          <w:p w:rsidR="00E6538A" w:rsidRPr="00C3460D" w:rsidRDefault="00C3460D" w:rsidP="00B87852">
            <w:pPr>
              <w:pStyle w:val="ListParagraph"/>
              <w:ind w:left="0"/>
              <w:jc w:val="center"/>
              <w:rPr>
                <w:rFonts w:cs="Arial"/>
                <w:b/>
                <w:sz w:val="20"/>
                <w:u w:val="single"/>
              </w:rPr>
            </w:pPr>
            <w:r w:rsidRPr="00D81DFD">
              <w:rPr>
                <w:rFonts w:cs="Arial"/>
                <w:b/>
                <w:sz w:val="20"/>
              </w:rPr>
              <w:t>(</w:t>
            </w:r>
            <w:r w:rsidR="00E6538A" w:rsidRPr="00C3460D">
              <w:rPr>
                <w:rFonts w:cs="Arial"/>
                <w:b/>
                <w:sz w:val="20"/>
                <w:u w:val="single"/>
              </w:rPr>
              <w:t>2017/18</w:t>
            </w:r>
            <w:r w:rsidRPr="00D81DFD">
              <w:rPr>
                <w:rFonts w:cs="Arial"/>
                <w:b/>
                <w:sz w:val="20"/>
              </w:rPr>
              <w:t>)</w:t>
            </w:r>
          </w:p>
          <w:p w:rsidR="00E6538A" w:rsidRPr="00C3460D" w:rsidRDefault="00E6538A" w:rsidP="00B87852">
            <w:pPr>
              <w:pStyle w:val="ListParagraph"/>
              <w:ind w:left="0"/>
              <w:jc w:val="center"/>
              <w:rPr>
                <w:rFonts w:cs="Arial"/>
                <w:b/>
                <w:sz w:val="20"/>
                <w:u w:val="single"/>
              </w:rPr>
            </w:pPr>
          </w:p>
        </w:tc>
      </w:tr>
      <w:tr w:rsidR="00E6538A" w:rsidRPr="00BD1D0D" w:rsidTr="00C3460D">
        <w:tc>
          <w:tcPr>
            <w:tcW w:w="5489" w:type="dxa"/>
          </w:tcPr>
          <w:p w:rsidR="00E6538A" w:rsidRPr="00BD1D0D" w:rsidRDefault="00E6538A" w:rsidP="00BD1D0D">
            <w:pPr>
              <w:pStyle w:val="ListParagraph"/>
              <w:ind w:left="0"/>
              <w:jc w:val="both"/>
              <w:rPr>
                <w:rFonts w:cs="Arial"/>
                <w:sz w:val="20"/>
              </w:rPr>
            </w:pPr>
            <w:r>
              <w:rPr>
                <w:rFonts w:cs="Arial"/>
                <w:sz w:val="20"/>
              </w:rPr>
              <w:t>Corporate Services</w:t>
            </w:r>
          </w:p>
        </w:tc>
        <w:tc>
          <w:tcPr>
            <w:tcW w:w="284" w:type="dxa"/>
          </w:tcPr>
          <w:p w:rsidR="00E6538A"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r>
              <w:rPr>
                <w:rFonts w:cs="Arial"/>
                <w:sz w:val="20"/>
              </w:rPr>
              <w:t>89</w:t>
            </w:r>
          </w:p>
        </w:tc>
        <w:tc>
          <w:tcPr>
            <w:tcW w:w="1134" w:type="dxa"/>
          </w:tcPr>
          <w:p w:rsidR="00E6538A" w:rsidRPr="00BD1D0D" w:rsidRDefault="00E6538A" w:rsidP="00F02DD2">
            <w:pPr>
              <w:pStyle w:val="ListParagraph"/>
              <w:ind w:left="0"/>
              <w:jc w:val="center"/>
              <w:rPr>
                <w:rFonts w:cs="Arial"/>
                <w:sz w:val="20"/>
              </w:rPr>
            </w:pPr>
            <w:r>
              <w:rPr>
                <w:rFonts w:cs="Arial"/>
                <w:sz w:val="20"/>
              </w:rPr>
              <w:t>(90)</w:t>
            </w:r>
          </w:p>
        </w:tc>
      </w:tr>
      <w:tr w:rsidR="00E6538A" w:rsidRPr="00BD1D0D" w:rsidTr="00C3460D">
        <w:tc>
          <w:tcPr>
            <w:tcW w:w="5489" w:type="dxa"/>
          </w:tcPr>
          <w:p w:rsidR="00E6538A" w:rsidRPr="00BD1D0D" w:rsidRDefault="00E6538A" w:rsidP="00BD1D0D">
            <w:pPr>
              <w:pStyle w:val="ListParagraph"/>
              <w:ind w:left="0"/>
              <w:jc w:val="both"/>
              <w:rPr>
                <w:rFonts w:cs="Arial"/>
                <w:sz w:val="20"/>
              </w:rPr>
            </w:pPr>
            <w:r w:rsidRPr="00BD1D0D">
              <w:rPr>
                <w:rFonts w:cs="Arial"/>
                <w:sz w:val="20"/>
              </w:rPr>
              <w:t>Children &amp; Families</w:t>
            </w:r>
          </w:p>
        </w:tc>
        <w:tc>
          <w:tcPr>
            <w:tcW w:w="284" w:type="dxa"/>
          </w:tcPr>
          <w:p w:rsidR="00E6538A" w:rsidRPr="00BD1D0D"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p>
        </w:tc>
        <w:tc>
          <w:tcPr>
            <w:tcW w:w="1134" w:type="dxa"/>
          </w:tcPr>
          <w:p w:rsidR="00E6538A" w:rsidRPr="00BD1D0D" w:rsidRDefault="00E6538A" w:rsidP="00F02DD2">
            <w:pPr>
              <w:pStyle w:val="ListParagraph"/>
              <w:ind w:left="0"/>
              <w:jc w:val="center"/>
              <w:rPr>
                <w:rFonts w:cs="Arial"/>
                <w:sz w:val="20"/>
              </w:rPr>
            </w:pPr>
          </w:p>
        </w:tc>
      </w:tr>
      <w:tr w:rsidR="00E6538A" w:rsidRPr="00BD1D0D" w:rsidTr="00C3460D">
        <w:tc>
          <w:tcPr>
            <w:tcW w:w="5489" w:type="dxa"/>
          </w:tcPr>
          <w:p w:rsidR="00E6538A" w:rsidRPr="00BD1D0D" w:rsidRDefault="00E6538A" w:rsidP="00F02DD2">
            <w:pPr>
              <w:pStyle w:val="ListParagraph"/>
              <w:ind w:left="328" w:hanging="328"/>
              <w:jc w:val="both"/>
              <w:rPr>
                <w:rFonts w:cs="Arial"/>
                <w:sz w:val="20"/>
              </w:rPr>
            </w:pPr>
            <w:r>
              <w:rPr>
                <w:rFonts w:cs="Arial"/>
                <w:sz w:val="20"/>
              </w:rPr>
              <w:t>-</w:t>
            </w:r>
            <w:r>
              <w:rPr>
                <w:rFonts w:cs="Arial"/>
                <w:sz w:val="20"/>
              </w:rPr>
              <w:tab/>
              <w:t>Education</w:t>
            </w:r>
          </w:p>
        </w:tc>
        <w:tc>
          <w:tcPr>
            <w:tcW w:w="284" w:type="dxa"/>
          </w:tcPr>
          <w:p w:rsidR="00E6538A"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r>
              <w:rPr>
                <w:rFonts w:cs="Arial"/>
                <w:sz w:val="20"/>
              </w:rPr>
              <w:t>125</w:t>
            </w:r>
          </w:p>
        </w:tc>
        <w:tc>
          <w:tcPr>
            <w:tcW w:w="1134" w:type="dxa"/>
          </w:tcPr>
          <w:p w:rsidR="00E6538A" w:rsidRPr="00BD1D0D" w:rsidRDefault="00E6538A" w:rsidP="00F02DD2">
            <w:pPr>
              <w:pStyle w:val="ListParagraph"/>
              <w:ind w:left="0"/>
              <w:jc w:val="center"/>
              <w:rPr>
                <w:rFonts w:cs="Arial"/>
                <w:sz w:val="20"/>
              </w:rPr>
            </w:pPr>
            <w:r>
              <w:rPr>
                <w:rFonts w:cs="Arial"/>
                <w:sz w:val="20"/>
              </w:rPr>
              <w:t>(124)</w:t>
            </w:r>
          </w:p>
        </w:tc>
      </w:tr>
      <w:tr w:rsidR="00E6538A" w:rsidRPr="00BD1D0D" w:rsidTr="00C3460D">
        <w:tc>
          <w:tcPr>
            <w:tcW w:w="5489" w:type="dxa"/>
          </w:tcPr>
          <w:p w:rsidR="00E6538A" w:rsidRPr="00BD1D0D" w:rsidRDefault="00E6538A" w:rsidP="00F02DD2">
            <w:pPr>
              <w:pStyle w:val="ListParagraph"/>
              <w:ind w:left="328" w:hanging="328"/>
              <w:jc w:val="both"/>
              <w:rPr>
                <w:rFonts w:cs="Arial"/>
                <w:sz w:val="20"/>
              </w:rPr>
            </w:pPr>
            <w:r>
              <w:rPr>
                <w:rFonts w:cs="Arial"/>
                <w:sz w:val="20"/>
              </w:rPr>
              <w:t>-</w:t>
            </w:r>
            <w:r>
              <w:rPr>
                <w:rFonts w:cs="Arial"/>
                <w:sz w:val="20"/>
              </w:rPr>
              <w:tab/>
              <w:t>Children’s Services</w:t>
            </w:r>
          </w:p>
        </w:tc>
        <w:tc>
          <w:tcPr>
            <w:tcW w:w="284" w:type="dxa"/>
          </w:tcPr>
          <w:p w:rsidR="00E6538A"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r>
              <w:rPr>
                <w:rFonts w:cs="Arial"/>
                <w:sz w:val="20"/>
              </w:rPr>
              <w:t>46</w:t>
            </w:r>
          </w:p>
        </w:tc>
        <w:tc>
          <w:tcPr>
            <w:tcW w:w="1134" w:type="dxa"/>
          </w:tcPr>
          <w:p w:rsidR="00E6538A" w:rsidRPr="00BD1D0D" w:rsidRDefault="00E6538A" w:rsidP="00F02DD2">
            <w:pPr>
              <w:pStyle w:val="ListParagraph"/>
              <w:ind w:left="0"/>
              <w:jc w:val="center"/>
              <w:rPr>
                <w:rFonts w:cs="Arial"/>
                <w:sz w:val="20"/>
              </w:rPr>
            </w:pPr>
            <w:r>
              <w:rPr>
                <w:rFonts w:cs="Arial"/>
                <w:sz w:val="20"/>
              </w:rPr>
              <w:t>(16)</w:t>
            </w:r>
          </w:p>
        </w:tc>
      </w:tr>
      <w:tr w:rsidR="00E6538A" w:rsidRPr="00BD1D0D" w:rsidTr="00C3460D">
        <w:tc>
          <w:tcPr>
            <w:tcW w:w="5489" w:type="dxa"/>
          </w:tcPr>
          <w:p w:rsidR="00E6538A" w:rsidRPr="00BD1D0D" w:rsidRDefault="00E6538A" w:rsidP="00F02DD2">
            <w:pPr>
              <w:pStyle w:val="ListParagraph"/>
              <w:ind w:left="328" w:hanging="328"/>
              <w:jc w:val="both"/>
              <w:rPr>
                <w:rFonts w:cs="Arial"/>
                <w:sz w:val="20"/>
              </w:rPr>
            </w:pPr>
            <w:r>
              <w:rPr>
                <w:rFonts w:cs="Arial"/>
                <w:sz w:val="20"/>
              </w:rPr>
              <w:t>-</w:t>
            </w:r>
            <w:r>
              <w:rPr>
                <w:rFonts w:cs="Arial"/>
                <w:sz w:val="20"/>
              </w:rPr>
              <w:tab/>
              <w:t>Criminal Justice</w:t>
            </w:r>
          </w:p>
        </w:tc>
        <w:tc>
          <w:tcPr>
            <w:tcW w:w="284" w:type="dxa"/>
          </w:tcPr>
          <w:p w:rsidR="00E6538A"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r>
              <w:rPr>
                <w:rFonts w:cs="Arial"/>
                <w:sz w:val="20"/>
              </w:rPr>
              <w:t>3</w:t>
            </w:r>
          </w:p>
        </w:tc>
        <w:tc>
          <w:tcPr>
            <w:tcW w:w="1134" w:type="dxa"/>
          </w:tcPr>
          <w:p w:rsidR="00E6538A" w:rsidRPr="00BD1D0D" w:rsidRDefault="00E6538A" w:rsidP="00F02DD2">
            <w:pPr>
              <w:pStyle w:val="ListParagraph"/>
              <w:ind w:left="0"/>
              <w:jc w:val="center"/>
              <w:rPr>
                <w:rFonts w:cs="Arial"/>
                <w:sz w:val="20"/>
              </w:rPr>
            </w:pPr>
            <w:r>
              <w:rPr>
                <w:rFonts w:cs="Arial"/>
                <w:sz w:val="20"/>
              </w:rPr>
              <w:t>(4)</w:t>
            </w:r>
          </w:p>
        </w:tc>
      </w:tr>
      <w:tr w:rsidR="00E6538A" w:rsidRPr="00BD1D0D" w:rsidTr="00C3460D">
        <w:tc>
          <w:tcPr>
            <w:tcW w:w="5489" w:type="dxa"/>
          </w:tcPr>
          <w:p w:rsidR="00E6538A" w:rsidRPr="00BD1D0D" w:rsidRDefault="00E6538A" w:rsidP="00BD1D0D">
            <w:pPr>
              <w:pStyle w:val="ListParagraph"/>
              <w:ind w:left="0"/>
              <w:jc w:val="both"/>
              <w:rPr>
                <w:rFonts w:cs="Arial"/>
                <w:sz w:val="20"/>
              </w:rPr>
            </w:pPr>
            <w:r w:rsidRPr="00BD1D0D">
              <w:rPr>
                <w:rFonts w:cs="Arial"/>
                <w:sz w:val="20"/>
              </w:rPr>
              <w:t>Neighbourhood Services</w:t>
            </w:r>
          </w:p>
        </w:tc>
        <w:tc>
          <w:tcPr>
            <w:tcW w:w="284" w:type="dxa"/>
          </w:tcPr>
          <w:p w:rsidR="00E6538A" w:rsidRPr="00BD1D0D"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p>
        </w:tc>
        <w:tc>
          <w:tcPr>
            <w:tcW w:w="1134" w:type="dxa"/>
          </w:tcPr>
          <w:p w:rsidR="00E6538A" w:rsidRPr="00BD1D0D" w:rsidRDefault="00E6538A" w:rsidP="00F02DD2">
            <w:pPr>
              <w:pStyle w:val="ListParagraph"/>
              <w:ind w:left="0"/>
              <w:jc w:val="center"/>
              <w:rPr>
                <w:rFonts w:cs="Arial"/>
                <w:sz w:val="20"/>
              </w:rPr>
            </w:pPr>
          </w:p>
        </w:tc>
      </w:tr>
      <w:tr w:rsidR="00E6538A" w:rsidRPr="00BD1D0D" w:rsidTr="00C3460D">
        <w:tc>
          <w:tcPr>
            <w:tcW w:w="5489" w:type="dxa"/>
          </w:tcPr>
          <w:p w:rsidR="00E6538A" w:rsidRPr="00BD1D0D" w:rsidRDefault="00E6538A" w:rsidP="00F02DD2">
            <w:pPr>
              <w:pStyle w:val="ListParagraph"/>
              <w:ind w:left="328" w:hanging="328"/>
              <w:jc w:val="both"/>
              <w:rPr>
                <w:rFonts w:cs="Arial"/>
                <w:sz w:val="20"/>
              </w:rPr>
            </w:pPr>
            <w:r>
              <w:rPr>
                <w:rFonts w:cs="Arial"/>
                <w:sz w:val="20"/>
              </w:rPr>
              <w:t>-</w:t>
            </w:r>
            <w:r>
              <w:rPr>
                <w:rFonts w:cs="Arial"/>
                <w:sz w:val="20"/>
              </w:rPr>
              <w:tab/>
              <w:t>Housing</w:t>
            </w:r>
          </w:p>
        </w:tc>
        <w:tc>
          <w:tcPr>
            <w:tcW w:w="284" w:type="dxa"/>
          </w:tcPr>
          <w:p w:rsidR="00E6538A"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r>
              <w:rPr>
                <w:rFonts w:cs="Arial"/>
                <w:sz w:val="20"/>
              </w:rPr>
              <w:t>180</w:t>
            </w:r>
          </w:p>
        </w:tc>
        <w:tc>
          <w:tcPr>
            <w:tcW w:w="1134" w:type="dxa"/>
          </w:tcPr>
          <w:p w:rsidR="00E6538A" w:rsidRPr="00BD1D0D" w:rsidRDefault="00E6538A" w:rsidP="00F02DD2">
            <w:pPr>
              <w:pStyle w:val="ListParagraph"/>
              <w:ind w:left="0"/>
              <w:jc w:val="center"/>
              <w:rPr>
                <w:rFonts w:cs="Arial"/>
                <w:sz w:val="20"/>
              </w:rPr>
            </w:pPr>
            <w:r>
              <w:rPr>
                <w:rFonts w:cs="Arial"/>
                <w:sz w:val="20"/>
              </w:rPr>
              <w:t>(108)</w:t>
            </w:r>
          </w:p>
        </w:tc>
      </w:tr>
      <w:tr w:rsidR="00E6538A" w:rsidRPr="00BD1D0D" w:rsidTr="00C3460D">
        <w:tc>
          <w:tcPr>
            <w:tcW w:w="5489" w:type="dxa"/>
          </w:tcPr>
          <w:p w:rsidR="00E6538A" w:rsidRPr="00BD1D0D" w:rsidRDefault="00E6538A" w:rsidP="00F02DD2">
            <w:pPr>
              <w:pStyle w:val="ListParagraph"/>
              <w:ind w:left="328" w:hanging="328"/>
              <w:jc w:val="both"/>
              <w:rPr>
                <w:rFonts w:cs="Arial"/>
                <w:sz w:val="20"/>
              </w:rPr>
            </w:pPr>
            <w:r>
              <w:rPr>
                <w:rFonts w:cs="Arial"/>
                <w:sz w:val="20"/>
              </w:rPr>
              <w:t>-</w:t>
            </w:r>
            <w:r>
              <w:rPr>
                <w:rFonts w:cs="Arial"/>
                <w:sz w:val="20"/>
              </w:rPr>
              <w:tab/>
              <w:t>Environment</w:t>
            </w:r>
          </w:p>
        </w:tc>
        <w:tc>
          <w:tcPr>
            <w:tcW w:w="284" w:type="dxa"/>
          </w:tcPr>
          <w:p w:rsidR="00E6538A"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r>
              <w:rPr>
                <w:rFonts w:cs="Arial"/>
                <w:sz w:val="20"/>
              </w:rPr>
              <w:t>153</w:t>
            </w:r>
          </w:p>
        </w:tc>
        <w:tc>
          <w:tcPr>
            <w:tcW w:w="1134" w:type="dxa"/>
          </w:tcPr>
          <w:p w:rsidR="00E6538A" w:rsidRPr="00BD1D0D" w:rsidRDefault="00E6538A" w:rsidP="00F02DD2">
            <w:pPr>
              <w:pStyle w:val="ListParagraph"/>
              <w:ind w:left="0"/>
              <w:jc w:val="center"/>
              <w:rPr>
                <w:rFonts w:cs="Arial"/>
                <w:sz w:val="20"/>
              </w:rPr>
            </w:pPr>
            <w:r>
              <w:rPr>
                <w:rFonts w:cs="Arial"/>
                <w:sz w:val="20"/>
              </w:rPr>
              <w:t>(145)</w:t>
            </w:r>
          </w:p>
        </w:tc>
      </w:tr>
      <w:tr w:rsidR="00E6538A" w:rsidRPr="00BD1D0D" w:rsidTr="00C3460D">
        <w:tc>
          <w:tcPr>
            <w:tcW w:w="5489" w:type="dxa"/>
          </w:tcPr>
          <w:p w:rsidR="00E6538A" w:rsidRPr="00BD1D0D" w:rsidRDefault="00E6538A" w:rsidP="00BD1D0D">
            <w:pPr>
              <w:pStyle w:val="ListParagraph"/>
              <w:ind w:left="0"/>
              <w:jc w:val="both"/>
              <w:rPr>
                <w:rFonts w:cs="Arial"/>
                <w:sz w:val="20"/>
              </w:rPr>
            </w:pPr>
            <w:r>
              <w:rPr>
                <w:rFonts w:cs="Arial"/>
                <w:sz w:val="20"/>
              </w:rPr>
              <w:t>City Development</w:t>
            </w:r>
          </w:p>
        </w:tc>
        <w:tc>
          <w:tcPr>
            <w:tcW w:w="284" w:type="dxa"/>
          </w:tcPr>
          <w:p w:rsidR="00E6538A"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r>
              <w:rPr>
                <w:rFonts w:cs="Arial"/>
                <w:sz w:val="20"/>
              </w:rPr>
              <w:t>50</w:t>
            </w:r>
          </w:p>
        </w:tc>
        <w:tc>
          <w:tcPr>
            <w:tcW w:w="1134" w:type="dxa"/>
          </w:tcPr>
          <w:p w:rsidR="00E6538A" w:rsidRPr="00BD1D0D" w:rsidRDefault="00E6538A" w:rsidP="00F02DD2">
            <w:pPr>
              <w:pStyle w:val="ListParagraph"/>
              <w:ind w:left="0"/>
              <w:jc w:val="center"/>
              <w:rPr>
                <w:rFonts w:cs="Arial"/>
                <w:sz w:val="20"/>
              </w:rPr>
            </w:pPr>
            <w:r>
              <w:rPr>
                <w:rFonts w:cs="Arial"/>
                <w:sz w:val="20"/>
              </w:rPr>
              <w:t>(59)</w:t>
            </w:r>
          </w:p>
        </w:tc>
      </w:tr>
      <w:tr w:rsidR="00E6538A" w:rsidRPr="00BD1D0D" w:rsidTr="00C3460D">
        <w:tc>
          <w:tcPr>
            <w:tcW w:w="5489" w:type="dxa"/>
          </w:tcPr>
          <w:p w:rsidR="00E6538A" w:rsidRPr="00BD1D0D" w:rsidRDefault="00E6538A" w:rsidP="00BD1D0D">
            <w:pPr>
              <w:pStyle w:val="ListParagraph"/>
              <w:ind w:left="0"/>
              <w:jc w:val="both"/>
              <w:rPr>
                <w:rFonts w:cs="Arial"/>
                <w:sz w:val="20"/>
              </w:rPr>
            </w:pPr>
            <w:r>
              <w:rPr>
                <w:rFonts w:cs="Arial"/>
                <w:sz w:val="20"/>
              </w:rPr>
              <w:t>Chief Executive’s</w:t>
            </w:r>
          </w:p>
        </w:tc>
        <w:tc>
          <w:tcPr>
            <w:tcW w:w="284" w:type="dxa"/>
          </w:tcPr>
          <w:p w:rsidR="00E6538A"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r>
              <w:rPr>
                <w:rFonts w:cs="Arial"/>
                <w:sz w:val="20"/>
              </w:rPr>
              <w:t>6</w:t>
            </w:r>
          </w:p>
        </w:tc>
        <w:tc>
          <w:tcPr>
            <w:tcW w:w="1134" w:type="dxa"/>
          </w:tcPr>
          <w:p w:rsidR="00E6538A" w:rsidRPr="00BD1D0D" w:rsidRDefault="00E6538A" w:rsidP="00F02DD2">
            <w:pPr>
              <w:pStyle w:val="ListParagraph"/>
              <w:ind w:left="0"/>
              <w:jc w:val="center"/>
              <w:rPr>
                <w:rFonts w:cs="Arial"/>
                <w:sz w:val="20"/>
              </w:rPr>
            </w:pPr>
            <w:r>
              <w:rPr>
                <w:rFonts w:cs="Arial"/>
                <w:sz w:val="20"/>
              </w:rPr>
              <w:t>(1)</w:t>
            </w:r>
          </w:p>
        </w:tc>
      </w:tr>
      <w:tr w:rsidR="00E6538A" w:rsidRPr="00BD1D0D" w:rsidTr="00C3460D">
        <w:tc>
          <w:tcPr>
            <w:tcW w:w="5489" w:type="dxa"/>
          </w:tcPr>
          <w:p w:rsidR="00E6538A" w:rsidRPr="00BD1D0D" w:rsidRDefault="00E6538A" w:rsidP="00BD1D0D">
            <w:pPr>
              <w:pStyle w:val="ListParagraph"/>
              <w:ind w:left="0"/>
              <w:rPr>
                <w:rFonts w:cs="Arial"/>
                <w:sz w:val="20"/>
              </w:rPr>
            </w:pPr>
            <w:r w:rsidRPr="00BD1D0D">
              <w:rPr>
                <w:rFonts w:cs="Arial"/>
                <w:sz w:val="20"/>
              </w:rPr>
              <w:t>Dundee Health and Social Care Par</w:t>
            </w:r>
            <w:r>
              <w:rPr>
                <w:rFonts w:cs="Arial"/>
                <w:sz w:val="20"/>
              </w:rPr>
              <w:t>tnership (Social Work only)</w:t>
            </w:r>
          </w:p>
        </w:tc>
        <w:tc>
          <w:tcPr>
            <w:tcW w:w="284" w:type="dxa"/>
          </w:tcPr>
          <w:p w:rsidR="00E6538A" w:rsidRDefault="00E6538A" w:rsidP="00F02DD2">
            <w:pPr>
              <w:pStyle w:val="ListParagraph"/>
              <w:ind w:left="0"/>
              <w:jc w:val="center"/>
              <w:rPr>
                <w:rFonts w:cs="Arial"/>
                <w:sz w:val="20"/>
              </w:rPr>
            </w:pPr>
            <w:r>
              <w:rPr>
                <w:rFonts w:cs="Arial"/>
                <w:sz w:val="20"/>
              </w:rPr>
              <w:t>-</w:t>
            </w:r>
          </w:p>
        </w:tc>
        <w:tc>
          <w:tcPr>
            <w:tcW w:w="1314" w:type="dxa"/>
          </w:tcPr>
          <w:p w:rsidR="00E6538A" w:rsidRPr="00BD1D0D" w:rsidRDefault="00E6538A" w:rsidP="00F02DD2">
            <w:pPr>
              <w:pStyle w:val="ListParagraph"/>
              <w:ind w:left="0"/>
              <w:jc w:val="center"/>
              <w:rPr>
                <w:rFonts w:cs="Arial"/>
                <w:sz w:val="20"/>
              </w:rPr>
            </w:pPr>
            <w:r>
              <w:rPr>
                <w:rFonts w:cs="Arial"/>
                <w:sz w:val="20"/>
              </w:rPr>
              <w:t>32</w:t>
            </w:r>
          </w:p>
        </w:tc>
        <w:tc>
          <w:tcPr>
            <w:tcW w:w="1134" w:type="dxa"/>
          </w:tcPr>
          <w:p w:rsidR="00E6538A" w:rsidRPr="00BD1D0D" w:rsidRDefault="00E6538A" w:rsidP="00F02DD2">
            <w:pPr>
              <w:pStyle w:val="ListParagraph"/>
              <w:ind w:left="0"/>
              <w:jc w:val="center"/>
              <w:rPr>
                <w:rFonts w:cs="Arial"/>
                <w:sz w:val="20"/>
              </w:rPr>
            </w:pPr>
            <w:r>
              <w:rPr>
                <w:rFonts w:cs="Arial"/>
                <w:sz w:val="20"/>
              </w:rPr>
              <w:t>(38)</w:t>
            </w:r>
          </w:p>
        </w:tc>
      </w:tr>
    </w:tbl>
    <w:p w:rsidR="00DD75E6" w:rsidRPr="00AB1652" w:rsidRDefault="00DD75E6" w:rsidP="00DD75E6">
      <w:pPr>
        <w:ind w:left="1080"/>
        <w:jc w:val="both"/>
        <w:rPr>
          <w:rFonts w:cs="Arial"/>
          <w:sz w:val="20"/>
        </w:rPr>
      </w:pPr>
    </w:p>
    <w:p w:rsidR="00DD75E6" w:rsidRDefault="00DD75E6" w:rsidP="00DD75E6">
      <w:pPr>
        <w:ind w:left="1080"/>
        <w:jc w:val="both"/>
        <w:rPr>
          <w:rFonts w:cs="Arial"/>
          <w:sz w:val="20"/>
        </w:rPr>
      </w:pPr>
      <w:r w:rsidRPr="00AB1652">
        <w:rPr>
          <w:rFonts w:cs="Arial"/>
          <w:sz w:val="20"/>
        </w:rPr>
        <w:t>A breakdown of each service’s figures is given in Appendix One.</w:t>
      </w:r>
    </w:p>
    <w:p w:rsidR="00720602" w:rsidRPr="00AB1652" w:rsidRDefault="00720602" w:rsidP="00AA6C80">
      <w:pPr>
        <w:ind w:left="1440" w:hanging="720"/>
        <w:jc w:val="both"/>
        <w:rPr>
          <w:rFonts w:cs="Arial"/>
          <w:sz w:val="20"/>
        </w:rPr>
      </w:pPr>
    </w:p>
    <w:p w:rsidR="001462FD" w:rsidRPr="00AB1652" w:rsidRDefault="00C71787" w:rsidP="001462FD">
      <w:pPr>
        <w:numPr>
          <w:ilvl w:val="0"/>
          <w:numId w:val="1"/>
        </w:numPr>
        <w:jc w:val="both"/>
        <w:rPr>
          <w:rFonts w:cs="Arial"/>
          <w:sz w:val="20"/>
        </w:rPr>
      </w:pPr>
      <w:r>
        <w:rPr>
          <w:rFonts w:cs="Arial"/>
          <w:sz w:val="20"/>
        </w:rPr>
        <w:t>6</w:t>
      </w:r>
      <w:r w:rsidR="00DC5721">
        <w:rPr>
          <w:rFonts w:cs="Arial"/>
          <w:sz w:val="20"/>
        </w:rPr>
        <w:t>8.7</w:t>
      </w:r>
      <w:r w:rsidR="003B6B3D" w:rsidRPr="00AB1652">
        <w:rPr>
          <w:rFonts w:cs="Arial"/>
          <w:sz w:val="20"/>
        </w:rPr>
        <w:t>% of complaints at the frontline stage were closed within t</w:t>
      </w:r>
      <w:r w:rsidR="00982058" w:rsidRPr="00AB1652">
        <w:rPr>
          <w:rFonts w:cs="Arial"/>
          <w:sz w:val="20"/>
        </w:rPr>
        <w:t xml:space="preserve">he </w:t>
      </w:r>
      <w:r w:rsidR="002C5F18" w:rsidRPr="00AB1652">
        <w:rPr>
          <w:rFonts w:cs="Arial"/>
          <w:sz w:val="20"/>
        </w:rPr>
        <w:t xml:space="preserve">target of </w:t>
      </w:r>
      <w:r w:rsidR="00982058" w:rsidRPr="00AB1652">
        <w:rPr>
          <w:rFonts w:cs="Arial"/>
          <w:sz w:val="20"/>
        </w:rPr>
        <w:t>5</w:t>
      </w:r>
      <w:r w:rsidR="00B17E6C" w:rsidRPr="00AB1652">
        <w:rPr>
          <w:rFonts w:cs="Arial"/>
          <w:sz w:val="20"/>
        </w:rPr>
        <w:t xml:space="preserve"> working</w:t>
      </w:r>
      <w:r w:rsidR="00982058" w:rsidRPr="00AB1652">
        <w:rPr>
          <w:rFonts w:cs="Arial"/>
          <w:sz w:val="20"/>
        </w:rPr>
        <w:t xml:space="preserve"> day</w:t>
      </w:r>
      <w:r w:rsidR="00B17E6C" w:rsidRPr="00AB1652">
        <w:rPr>
          <w:rFonts w:cs="Arial"/>
          <w:sz w:val="20"/>
        </w:rPr>
        <w:t>s</w:t>
      </w:r>
      <w:r w:rsidR="00C0487F" w:rsidRPr="00AB1652">
        <w:rPr>
          <w:rFonts w:cs="Arial"/>
          <w:sz w:val="20"/>
        </w:rPr>
        <w:t xml:space="preserve"> </w:t>
      </w:r>
      <w:r w:rsidR="00E6538A">
        <w:rPr>
          <w:rFonts w:cs="Arial"/>
          <w:sz w:val="20"/>
        </w:rPr>
        <w:t>(</w:t>
      </w:r>
      <w:r w:rsidR="00B87852">
        <w:rPr>
          <w:rFonts w:cs="Arial"/>
          <w:sz w:val="20"/>
        </w:rPr>
        <w:t xml:space="preserve">up from 63.9% the previous year) </w:t>
      </w:r>
      <w:r w:rsidR="00C0487F" w:rsidRPr="00AB1652">
        <w:rPr>
          <w:rFonts w:cs="Arial"/>
          <w:sz w:val="20"/>
        </w:rPr>
        <w:t xml:space="preserve">and a </w:t>
      </w:r>
      <w:r w:rsidR="00982058" w:rsidRPr="00AB1652">
        <w:rPr>
          <w:rFonts w:cs="Arial"/>
          <w:sz w:val="20"/>
        </w:rPr>
        <w:t>furthe</w:t>
      </w:r>
      <w:r w:rsidR="000127A5">
        <w:rPr>
          <w:rFonts w:cs="Arial"/>
          <w:sz w:val="20"/>
        </w:rPr>
        <w:t xml:space="preserve">r </w:t>
      </w:r>
      <w:r>
        <w:rPr>
          <w:rFonts w:cs="Arial"/>
          <w:sz w:val="20"/>
        </w:rPr>
        <w:t>8.</w:t>
      </w:r>
      <w:r w:rsidR="00DC5721">
        <w:rPr>
          <w:rFonts w:cs="Arial"/>
          <w:sz w:val="20"/>
        </w:rPr>
        <w:t>2</w:t>
      </w:r>
      <w:r w:rsidR="005B0E6C" w:rsidRPr="00AB1652">
        <w:rPr>
          <w:rFonts w:cs="Arial"/>
          <w:sz w:val="20"/>
        </w:rPr>
        <w:t>% w</w:t>
      </w:r>
      <w:r w:rsidR="00B52CBD" w:rsidRPr="00AB1652">
        <w:rPr>
          <w:rFonts w:cs="Arial"/>
          <w:sz w:val="20"/>
        </w:rPr>
        <w:t>ithin an extended target time.</w:t>
      </w:r>
    </w:p>
    <w:p w:rsidR="00B52CBD" w:rsidRPr="00AB1652" w:rsidRDefault="00B52CBD" w:rsidP="007827AF">
      <w:pPr>
        <w:ind w:left="720"/>
        <w:jc w:val="both"/>
        <w:rPr>
          <w:rFonts w:cs="Arial"/>
          <w:sz w:val="20"/>
        </w:rPr>
      </w:pPr>
    </w:p>
    <w:p w:rsidR="001462FD" w:rsidRDefault="001462FD" w:rsidP="005B0E6C">
      <w:pPr>
        <w:numPr>
          <w:ilvl w:val="0"/>
          <w:numId w:val="1"/>
        </w:numPr>
        <w:jc w:val="both"/>
        <w:rPr>
          <w:rFonts w:cs="Arial"/>
          <w:sz w:val="20"/>
        </w:rPr>
      </w:pPr>
      <w:r w:rsidRPr="00AB1652">
        <w:rPr>
          <w:rFonts w:cs="Arial"/>
          <w:sz w:val="20"/>
        </w:rPr>
        <w:t xml:space="preserve">the aim of the Complaints Handling Procedure is for as many complaints as possible to be resolved at the frontline stage (stage 1) with as few as possible going for further investigation (stage 2).  During </w:t>
      </w:r>
      <w:r w:rsidR="00B52CBD" w:rsidRPr="00AB1652">
        <w:rPr>
          <w:rFonts w:cs="Arial"/>
          <w:sz w:val="20"/>
        </w:rPr>
        <w:t>201</w:t>
      </w:r>
      <w:r w:rsidR="00DC5721">
        <w:rPr>
          <w:rFonts w:cs="Arial"/>
          <w:sz w:val="20"/>
        </w:rPr>
        <w:t>8</w:t>
      </w:r>
      <w:r w:rsidR="00B52CBD" w:rsidRPr="00AB1652">
        <w:rPr>
          <w:rFonts w:cs="Arial"/>
          <w:sz w:val="20"/>
        </w:rPr>
        <w:t>/201</w:t>
      </w:r>
      <w:r w:rsidR="00DC5721">
        <w:rPr>
          <w:rFonts w:cs="Arial"/>
          <w:sz w:val="20"/>
        </w:rPr>
        <w:t>9</w:t>
      </w:r>
      <w:r w:rsidRPr="00AB1652">
        <w:rPr>
          <w:rFonts w:cs="Arial"/>
          <w:sz w:val="20"/>
        </w:rPr>
        <w:t xml:space="preserve">, our ratio of complaints dealt with at </w:t>
      </w:r>
      <w:r w:rsidR="00DC5721">
        <w:rPr>
          <w:rFonts w:cs="Arial"/>
          <w:sz w:val="20"/>
        </w:rPr>
        <w:t>the various stages was:</w:t>
      </w:r>
    </w:p>
    <w:p w:rsidR="00DC5721" w:rsidRDefault="00DC5721" w:rsidP="00DC5721">
      <w:pPr>
        <w:ind w:left="720"/>
        <w:jc w:val="both"/>
        <w:rPr>
          <w:rFonts w:cs="Arial"/>
          <w:sz w:val="20"/>
        </w:rPr>
      </w:pPr>
    </w:p>
    <w:p w:rsidR="00DC5721" w:rsidRDefault="00DC5721" w:rsidP="00DC5721">
      <w:pPr>
        <w:ind w:left="1080"/>
        <w:jc w:val="both"/>
        <w:rPr>
          <w:rFonts w:cs="Arial"/>
          <w:sz w:val="20"/>
        </w:rPr>
      </w:pPr>
      <w:r>
        <w:rPr>
          <w:rFonts w:cs="Arial"/>
          <w:sz w:val="20"/>
        </w:rPr>
        <w:t>-</w:t>
      </w:r>
      <w:r>
        <w:rPr>
          <w:rFonts w:cs="Arial"/>
          <w:sz w:val="20"/>
        </w:rPr>
        <w:tab/>
        <w:t>frontline   77.0%</w:t>
      </w:r>
    </w:p>
    <w:p w:rsidR="00DC5721" w:rsidRDefault="00DC5721" w:rsidP="00DC5721">
      <w:pPr>
        <w:ind w:left="1080"/>
        <w:jc w:val="both"/>
        <w:rPr>
          <w:rFonts w:cs="Arial"/>
          <w:sz w:val="20"/>
        </w:rPr>
      </w:pPr>
      <w:r>
        <w:rPr>
          <w:rFonts w:cs="Arial"/>
          <w:sz w:val="20"/>
        </w:rPr>
        <w:t>-</w:t>
      </w:r>
      <w:r>
        <w:rPr>
          <w:rFonts w:cs="Arial"/>
          <w:sz w:val="20"/>
        </w:rPr>
        <w:tab/>
        <w:t>opened at investigation stage   15.9%</w:t>
      </w:r>
    </w:p>
    <w:p w:rsidR="00DC5721" w:rsidRPr="00AB1652" w:rsidRDefault="00DC5721" w:rsidP="00DC5721">
      <w:pPr>
        <w:ind w:left="1080"/>
        <w:jc w:val="both"/>
        <w:rPr>
          <w:rFonts w:cs="Arial"/>
          <w:sz w:val="20"/>
        </w:rPr>
      </w:pPr>
      <w:r>
        <w:rPr>
          <w:rFonts w:cs="Arial"/>
          <w:sz w:val="20"/>
        </w:rPr>
        <w:t>-</w:t>
      </w:r>
      <w:r>
        <w:rPr>
          <w:rFonts w:cs="Arial"/>
          <w:sz w:val="20"/>
        </w:rPr>
        <w:tab/>
        <w:t>escalated to investigation stage   7.1%</w:t>
      </w:r>
    </w:p>
    <w:p w:rsidR="00D16461" w:rsidRPr="00AB1652" w:rsidRDefault="00D16461" w:rsidP="00D16461">
      <w:pPr>
        <w:pStyle w:val="ListParagraph"/>
        <w:rPr>
          <w:rFonts w:cs="Arial"/>
          <w:sz w:val="20"/>
        </w:rPr>
      </w:pPr>
    </w:p>
    <w:p w:rsidR="008B1505" w:rsidRPr="00AB1652" w:rsidRDefault="00DC5721" w:rsidP="008B1505">
      <w:pPr>
        <w:numPr>
          <w:ilvl w:val="0"/>
          <w:numId w:val="1"/>
        </w:numPr>
        <w:jc w:val="both"/>
        <w:rPr>
          <w:rFonts w:cs="Arial"/>
          <w:sz w:val="20"/>
        </w:rPr>
      </w:pPr>
      <w:r>
        <w:rPr>
          <w:rFonts w:cs="Arial"/>
          <w:sz w:val="20"/>
        </w:rPr>
        <w:t>59.2</w:t>
      </w:r>
      <w:r w:rsidR="003B6B3D" w:rsidRPr="00AB1652">
        <w:rPr>
          <w:rFonts w:cs="Arial"/>
          <w:sz w:val="20"/>
        </w:rPr>
        <w:t>% of complaints at the investigation stage were closed within the 20</w:t>
      </w:r>
      <w:r w:rsidR="00B52CBD" w:rsidRPr="00AB1652">
        <w:rPr>
          <w:rFonts w:cs="Arial"/>
          <w:sz w:val="20"/>
        </w:rPr>
        <w:t> </w:t>
      </w:r>
      <w:r w:rsidR="00B17E6C" w:rsidRPr="00AB1652">
        <w:rPr>
          <w:rFonts w:cs="Arial"/>
          <w:sz w:val="20"/>
        </w:rPr>
        <w:t xml:space="preserve">working </w:t>
      </w:r>
      <w:r w:rsidR="003B6B3D" w:rsidRPr="00AB1652">
        <w:rPr>
          <w:rFonts w:cs="Arial"/>
          <w:sz w:val="20"/>
        </w:rPr>
        <w:t>da</w:t>
      </w:r>
      <w:r w:rsidR="00982058" w:rsidRPr="00AB1652">
        <w:rPr>
          <w:rFonts w:cs="Arial"/>
          <w:sz w:val="20"/>
        </w:rPr>
        <w:t>y</w:t>
      </w:r>
      <w:r w:rsidR="00B17E6C" w:rsidRPr="00AB1652">
        <w:rPr>
          <w:rFonts w:cs="Arial"/>
          <w:sz w:val="20"/>
        </w:rPr>
        <w:t>s</w:t>
      </w:r>
      <w:r w:rsidR="00982058" w:rsidRPr="00AB1652">
        <w:rPr>
          <w:rFonts w:cs="Arial"/>
          <w:sz w:val="20"/>
        </w:rPr>
        <w:t xml:space="preserve"> target</w:t>
      </w:r>
      <w:r w:rsidR="005B0E6C" w:rsidRPr="00AB1652">
        <w:rPr>
          <w:rFonts w:cs="Arial"/>
          <w:sz w:val="20"/>
        </w:rPr>
        <w:t xml:space="preserve"> </w:t>
      </w:r>
      <w:r w:rsidR="00BB2C93" w:rsidRPr="00AB1652">
        <w:rPr>
          <w:rFonts w:cs="Arial"/>
          <w:sz w:val="20"/>
        </w:rPr>
        <w:t xml:space="preserve">and a further </w:t>
      </w:r>
      <w:r>
        <w:rPr>
          <w:rFonts w:cs="Arial"/>
          <w:sz w:val="20"/>
        </w:rPr>
        <w:t>29.3</w:t>
      </w:r>
      <w:r w:rsidR="00C05750" w:rsidRPr="00AB1652">
        <w:rPr>
          <w:rFonts w:cs="Arial"/>
          <w:sz w:val="20"/>
        </w:rPr>
        <w:t>% within an extended target time</w:t>
      </w:r>
      <w:r w:rsidR="00B52CBD" w:rsidRPr="00AB1652">
        <w:rPr>
          <w:rFonts w:cs="Arial"/>
          <w:sz w:val="20"/>
        </w:rPr>
        <w:t>.</w:t>
      </w:r>
    </w:p>
    <w:p w:rsidR="00B52CBD" w:rsidRPr="00AB1652" w:rsidRDefault="00B52CBD" w:rsidP="007827AF">
      <w:pPr>
        <w:ind w:left="720"/>
        <w:jc w:val="both"/>
        <w:rPr>
          <w:rFonts w:cs="Arial"/>
          <w:sz w:val="20"/>
        </w:rPr>
      </w:pPr>
    </w:p>
    <w:p w:rsidR="003B6B3D" w:rsidRPr="00AB1652" w:rsidRDefault="003B6B3D" w:rsidP="003B6B3D">
      <w:pPr>
        <w:numPr>
          <w:ilvl w:val="0"/>
          <w:numId w:val="1"/>
        </w:numPr>
        <w:jc w:val="both"/>
        <w:rPr>
          <w:rFonts w:cs="Arial"/>
          <w:sz w:val="20"/>
        </w:rPr>
      </w:pPr>
      <w:r w:rsidRPr="00AB1652">
        <w:rPr>
          <w:rFonts w:cs="Arial"/>
          <w:sz w:val="20"/>
        </w:rPr>
        <w:t xml:space="preserve">the average </w:t>
      </w:r>
      <w:r w:rsidR="00EF0099" w:rsidRPr="00AB1652">
        <w:rPr>
          <w:rFonts w:cs="Arial"/>
          <w:sz w:val="20"/>
        </w:rPr>
        <w:t xml:space="preserve">number of </w:t>
      </w:r>
      <w:r w:rsidR="00B17E6C" w:rsidRPr="00AB1652">
        <w:rPr>
          <w:rFonts w:cs="Arial"/>
          <w:sz w:val="20"/>
        </w:rPr>
        <w:t xml:space="preserve">working </w:t>
      </w:r>
      <w:r w:rsidR="00EF0099" w:rsidRPr="00AB1652">
        <w:rPr>
          <w:rFonts w:cs="Arial"/>
          <w:sz w:val="20"/>
        </w:rPr>
        <w:t xml:space="preserve">days taken to close </w:t>
      </w:r>
      <w:r w:rsidR="001F70F3" w:rsidRPr="00AB1652">
        <w:rPr>
          <w:rFonts w:cs="Arial"/>
          <w:sz w:val="20"/>
        </w:rPr>
        <w:t>complai</w:t>
      </w:r>
      <w:r w:rsidR="00531721" w:rsidRPr="00AB1652">
        <w:rPr>
          <w:rFonts w:cs="Arial"/>
          <w:sz w:val="20"/>
        </w:rPr>
        <w:t xml:space="preserve">nts was </w:t>
      </w:r>
      <w:r w:rsidR="00DC5721">
        <w:rPr>
          <w:rFonts w:cs="Arial"/>
          <w:sz w:val="20"/>
        </w:rPr>
        <w:t>5.2</w:t>
      </w:r>
      <w:r w:rsidR="007A4634">
        <w:rPr>
          <w:rFonts w:cs="Arial"/>
          <w:sz w:val="20"/>
        </w:rPr>
        <w:t xml:space="preserve"> </w:t>
      </w:r>
      <w:r w:rsidRPr="00AB1652">
        <w:rPr>
          <w:rFonts w:cs="Arial"/>
          <w:sz w:val="20"/>
        </w:rPr>
        <w:t>day</w:t>
      </w:r>
      <w:r w:rsidR="00982058" w:rsidRPr="00AB1652">
        <w:rPr>
          <w:rFonts w:cs="Arial"/>
          <w:sz w:val="20"/>
        </w:rPr>
        <w:t xml:space="preserve">s at the frontline stage </w:t>
      </w:r>
      <w:r w:rsidR="00B87852">
        <w:rPr>
          <w:rFonts w:cs="Arial"/>
          <w:sz w:val="20"/>
        </w:rPr>
        <w:t xml:space="preserve">(compared to 8.0 days in 2017/18) </w:t>
      </w:r>
      <w:r w:rsidR="00BB2C93" w:rsidRPr="00AB1652">
        <w:rPr>
          <w:rFonts w:cs="Arial"/>
          <w:sz w:val="20"/>
        </w:rPr>
        <w:t>and</w:t>
      </w:r>
      <w:r w:rsidR="00531721" w:rsidRPr="00AB1652">
        <w:rPr>
          <w:rFonts w:cs="Arial"/>
          <w:sz w:val="20"/>
        </w:rPr>
        <w:t xml:space="preserve"> </w:t>
      </w:r>
      <w:r w:rsidR="00DC5721">
        <w:rPr>
          <w:rFonts w:cs="Arial"/>
          <w:sz w:val="20"/>
        </w:rPr>
        <w:t>19.3</w:t>
      </w:r>
      <w:r w:rsidR="007A4634">
        <w:rPr>
          <w:rFonts w:cs="Arial"/>
          <w:sz w:val="20"/>
        </w:rPr>
        <w:t xml:space="preserve"> </w:t>
      </w:r>
      <w:r w:rsidRPr="00AB1652">
        <w:rPr>
          <w:rFonts w:cs="Arial"/>
          <w:sz w:val="20"/>
        </w:rPr>
        <w:t xml:space="preserve">days </w:t>
      </w:r>
      <w:r w:rsidR="00B87852">
        <w:rPr>
          <w:rFonts w:cs="Arial"/>
          <w:sz w:val="20"/>
        </w:rPr>
        <w:t>(</w:t>
      </w:r>
      <w:r w:rsidR="00E6538A">
        <w:rPr>
          <w:rFonts w:cs="Arial"/>
          <w:sz w:val="20"/>
        </w:rPr>
        <w:t xml:space="preserve">compared to </w:t>
      </w:r>
      <w:r w:rsidR="00B87852">
        <w:rPr>
          <w:rFonts w:cs="Arial"/>
          <w:sz w:val="20"/>
        </w:rPr>
        <w:t xml:space="preserve">24.5 days last year) </w:t>
      </w:r>
      <w:r w:rsidRPr="00AB1652">
        <w:rPr>
          <w:rFonts w:cs="Arial"/>
          <w:sz w:val="20"/>
        </w:rPr>
        <w:t>at the investiga</w:t>
      </w:r>
      <w:r w:rsidR="005B0E6C" w:rsidRPr="00AB1652">
        <w:rPr>
          <w:rFonts w:cs="Arial"/>
          <w:sz w:val="20"/>
        </w:rPr>
        <w:t>tion stage</w:t>
      </w:r>
      <w:r w:rsidR="00436B79" w:rsidRPr="00AB1652">
        <w:rPr>
          <w:rFonts w:cs="Arial"/>
          <w:sz w:val="20"/>
        </w:rPr>
        <w:t xml:space="preserve"> (combining ‘opened at’ and ‘escalated to’ figures)</w:t>
      </w:r>
      <w:r w:rsidR="001462FD" w:rsidRPr="00AB1652">
        <w:rPr>
          <w:rFonts w:cs="Arial"/>
          <w:sz w:val="20"/>
        </w:rPr>
        <w:t xml:space="preserve">.  </w:t>
      </w:r>
      <w:r w:rsidR="00B52CBD" w:rsidRPr="00AB1652">
        <w:rPr>
          <w:rFonts w:cs="Arial"/>
          <w:sz w:val="20"/>
        </w:rPr>
        <w:t>T</w:t>
      </w:r>
      <w:r w:rsidR="001462FD" w:rsidRPr="00AB1652">
        <w:rPr>
          <w:rFonts w:cs="Arial"/>
          <w:sz w:val="20"/>
        </w:rPr>
        <w:t>he Ombudsman has emphasised that the 5 and 20 day targets are designed to drive improvement rather than absolute standards which must be complied with.  It is acknowl</w:t>
      </w:r>
      <w:r w:rsidR="00F061B8" w:rsidRPr="00AB1652">
        <w:rPr>
          <w:rFonts w:cs="Arial"/>
          <w:sz w:val="20"/>
        </w:rPr>
        <w:t xml:space="preserve">edged that some complaints </w:t>
      </w:r>
      <w:r w:rsidR="001462FD" w:rsidRPr="00AB1652">
        <w:rPr>
          <w:rFonts w:cs="Arial"/>
          <w:sz w:val="20"/>
        </w:rPr>
        <w:t xml:space="preserve">take longer to resolve and </w:t>
      </w:r>
      <w:r w:rsidR="006827AB">
        <w:rPr>
          <w:rFonts w:cs="Arial"/>
          <w:sz w:val="20"/>
        </w:rPr>
        <w:t xml:space="preserve">that </w:t>
      </w:r>
      <w:r w:rsidR="001462FD" w:rsidRPr="00AB1652">
        <w:rPr>
          <w:rFonts w:cs="Arial"/>
          <w:sz w:val="20"/>
        </w:rPr>
        <w:t>missing the targets is not regarded as a ‘fail’</w:t>
      </w:r>
      <w:r w:rsidR="00F061B8" w:rsidRPr="00AB1652">
        <w:rPr>
          <w:rFonts w:cs="Arial"/>
          <w:sz w:val="20"/>
        </w:rPr>
        <w:t xml:space="preserve">.  In particular, complaints relating to </w:t>
      </w:r>
      <w:r w:rsidR="00765337" w:rsidRPr="00AB1652">
        <w:rPr>
          <w:rFonts w:cs="Arial"/>
          <w:sz w:val="20"/>
        </w:rPr>
        <w:t>schools</w:t>
      </w:r>
      <w:r w:rsidR="00F061B8" w:rsidRPr="00AB1652">
        <w:rPr>
          <w:rFonts w:cs="Arial"/>
          <w:sz w:val="20"/>
        </w:rPr>
        <w:t xml:space="preserve"> tend to take longer to resolve as they often involve arranging meetings with parents or investigations according to</w:t>
      </w:r>
      <w:r w:rsidR="00B52CBD" w:rsidRPr="00AB1652">
        <w:rPr>
          <w:rFonts w:cs="Arial"/>
          <w:sz w:val="20"/>
        </w:rPr>
        <w:t xml:space="preserve"> agreed procedures for teachers.</w:t>
      </w:r>
    </w:p>
    <w:p w:rsidR="00354E71" w:rsidRPr="00AB1652" w:rsidRDefault="00354E71" w:rsidP="00354E71">
      <w:pPr>
        <w:pStyle w:val="ListParagraph"/>
        <w:rPr>
          <w:rFonts w:cs="Arial"/>
          <w:sz w:val="20"/>
        </w:rPr>
      </w:pPr>
    </w:p>
    <w:p w:rsidR="00D16461" w:rsidRPr="00AB1652" w:rsidRDefault="00D16461" w:rsidP="00354E71">
      <w:pPr>
        <w:numPr>
          <w:ilvl w:val="0"/>
          <w:numId w:val="1"/>
        </w:numPr>
        <w:jc w:val="both"/>
        <w:rPr>
          <w:rFonts w:cs="Arial"/>
          <w:sz w:val="20"/>
        </w:rPr>
      </w:pPr>
      <w:r w:rsidRPr="00AB1652">
        <w:rPr>
          <w:rFonts w:cs="Arial"/>
          <w:sz w:val="20"/>
        </w:rPr>
        <w:t xml:space="preserve">at the frontline stage, </w:t>
      </w:r>
      <w:r w:rsidR="005D25E6">
        <w:rPr>
          <w:rFonts w:cs="Arial"/>
          <w:sz w:val="20"/>
        </w:rPr>
        <w:t>24.9</w:t>
      </w:r>
      <w:r w:rsidRPr="00AB1652">
        <w:rPr>
          <w:rFonts w:cs="Arial"/>
          <w:sz w:val="20"/>
        </w:rPr>
        <w:t>% of complaints were upheld</w:t>
      </w:r>
      <w:r w:rsidR="00BB2C93" w:rsidRPr="00AB1652">
        <w:rPr>
          <w:rFonts w:cs="Arial"/>
          <w:sz w:val="20"/>
        </w:rPr>
        <w:t xml:space="preserve"> and a further </w:t>
      </w:r>
      <w:r w:rsidR="005D25E6">
        <w:rPr>
          <w:rFonts w:cs="Arial"/>
          <w:sz w:val="20"/>
        </w:rPr>
        <w:t>13.9</w:t>
      </w:r>
      <w:r w:rsidR="00354E71" w:rsidRPr="00AB1652">
        <w:rPr>
          <w:rFonts w:cs="Arial"/>
          <w:sz w:val="20"/>
        </w:rPr>
        <w:t>%</w:t>
      </w:r>
      <w:r w:rsidRPr="00AB1652">
        <w:rPr>
          <w:rFonts w:cs="Arial"/>
          <w:sz w:val="20"/>
        </w:rPr>
        <w:t xml:space="preserve"> were partially upheld</w:t>
      </w:r>
      <w:r w:rsidR="00372299" w:rsidRPr="00AB1652">
        <w:rPr>
          <w:rFonts w:cs="Arial"/>
          <w:sz w:val="20"/>
        </w:rPr>
        <w:t>.</w:t>
      </w:r>
    </w:p>
    <w:p w:rsidR="00D16461" w:rsidRPr="00AB1652" w:rsidRDefault="00D16461" w:rsidP="00D16461">
      <w:pPr>
        <w:pStyle w:val="ListParagraph"/>
        <w:rPr>
          <w:rFonts w:cs="Arial"/>
          <w:sz w:val="20"/>
        </w:rPr>
      </w:pPr>
    </w:p>
    <w:p w:rsidR="00354E71" w:rsidRPr="00AB1652" w:rsidRDefault="00D16461" w:rsidP="00354E71">
      <w:pPr>
        <w:numPr>
          <w:ilvl w:val="0"/>
          <w:numId w:val="1"/>
        </w:numPr>
        <w:jc w:val="both"/>
        <w:rPr>
          <w:rFonts w:cs="Arial"/>
          <w:sz w:val="20"/>
        </w:rPr>
      </w:pPr>
      <w:r w:rsidRPr="00AB1652">
        <w:rPr>
          <w:rFonts w:cs="Arial"/>
          <w:sz w:val="20"/>
        </w:rPr>
        <w:t>a</w:t>
      </w:r>
      <w:r w:rsidR="00BB2C93" w:rsidRPr="00AB1652">
        <w:rPr>
          <w:rFonts w:cs="Arial"/>
          <w:sz w:val="20"/>
        </w:rPr>
        <w:t xml:space="preserve">t the investigation stage, </w:t>
      </w:r>
      <w:r w:rsidR="005D25E6">
        <w:rPr>
          <w:rFonts w:cs="Arial"/>
          <w:sz w:val="20"/>
        </w:rPr>
        <w:t>14.0</w:t>
      </w:r>
      <w:r w:rsidR="008D6BF2" w:rsidRPr="00AB1652">
        <w:rPr>
          <w:rFonts w:cs="Arial"/>
          <w:sz w:val="20"/>
        </w:rPr>
        <w:t xml:space="preserve">% were upheld and </w:t>
      </w:r>
      <w:r w:rsidR="005D25E6">
        <w:rPr>
          <w:rFonts w:cs="Arial"/>
          <w:sz w:val="20"/>
        </w:rPr>
        <w:t>24.8</w:t>
      </w:r>
      <w:r w:rsidR="00372299" w:rsidRPr="00AB1652">
        <w:rPr>
          <w:rFonts w:cs="Arial"/>
          <w:sz w:val="20"/>
        </w:rPr>
        <w:t>% were partially upheld.</w:t>
      </w:r>
    </w:p>
    <w:p w:rsidR="0040556F" w:rsidRPr="00AB1652" w:rsidRDefault="0040556F" w:rsidP="0040556F">
      <w:pPr>
        <w:pStyle w:val="ListParagraph"/>
        <w:rPr>
          <w:rFonts w:cs="Arial"/>
          <w:sz w:val="20"/>
        </w:rPr>
      </w:pPr>
    </w:p>
    <w:p w:rsidR="003B6B3D" w:rsidRPr="00AB1652" w:rsidRDefault="00B06888" w:rsidP="00A85DC5">
      <w:pPr>
        <w:numPr>
          <w:ilvl w:val="0"/>
          <w:numId w:val="1"/>
        </w:numPr>
        <w:jc w:val="both"/>
        <w:rPr>
          <w:rFonts w:cs="Arial"/>
          <w:sz w:val="20"/>
        </w:rPr>
      </w:pPr>
      <w:r w:rsidRPr="00AB1652">
        <w:rPr>
          <w:rFonts w:cs="Arial"/>
          <w:sz w:val="20"/>
        </w:rPr>
        <w:lastRenderedPageBreak/>
        <w:t>the percentage</w:t>
      </w:r>
      <w:r w:rsidR="00E059A8" w:rsidRPr="00AB1652">
        <w:rPr>
          <w:rFonts w:cs="Arial"/>
          <w:sz w:val="20"/>
        </w:rPr>
        <w:t xml:space="preserve"> </w:t>
      </w:r>
      <w:r w:rsidR="0040556F" w:rsidRPr="00AB1652">
        <w:rPr>
          <w:rFonts w:cs="Arial"/>
          <w:sz w:val="20"/>
        </w:rPr>
        <w:t xml:space="preserve">of complaints </w:t>
      </w:r>
      <w:r w:rsidR="00E059A8" w:rsidRPr="00AB1652">
        <w:rPr>
          <w:rFonts w:cs="Arial"/>
          <w:sz w:val="20"/>
        </w:rPr>
        <w:t>recorded in</w:t>
      </w:r>
      <w:r w:rsidR="00C0487F" w:rsidRPr="00AB1652">
        <w:rPr>
          <w:rFonts w:cs="Arial"/>
          <w:sz w:val="20"/>
        </w:rPr>
        <w:t xml:space="preserve"> each category</w:t>
      </w:r>
      <w:r w:rsidR="00FC58D0" w:rsidRPr="00AB1652">
        <w:rPr>
          <w:rFonts w:cs="Arial"/>
          <w:sz w:val="20"/>
        </w:rPr>
        <w:t xml:space="preserve"> is shown below (with the figure f</w:t>
      </w:r>
      <w:r w:rsidR="00C05750" w:rsidRPr="00AB1652">
        <w:rPr>
          <w:rFonts w:cs="Arial"/>
          <w:sz w:val="20"/>
        </w:rPr>
        <w:t>or</w:t>
      </w:r>
      <w:r w:rsidR="00BB2C93" w:rsidRPr="00AB1652">
        <w:rPr>
          <w:rFonts w:cs="Arial"/>
          <w:sz w:val="20"/>
        </w:rPr>
        <w:t xml:space="preserve"> 201</w:t>
      </w:r>
      <w:r w:rsidR="005D25E6">
        <w:rPr>
          <w:rFonts w:cs="Arial"/>
          <w:sz w:val="20"/>
        </w:rPr>
        <w:t>7</w:t>
      </w:r>
      <w:r w:rsidR="00372299" w:rsidRPr="00AB1652">
        <w:rPr>
          <w:rFonts w:cs="Arial"/>
          <w:sz w:val="20"/>
        </w:rPr>
        <w:t>/201</w:t>
      </w:r>
      <w:r w:rsidR="005D25E6">
        <w:rPr>
          <w:rFonts w:cs="Arial"/>
          <w:sz w:val="20"/>
        </w:rPr>
        <w:t>8</w:t>
      </w:r>
      <w:r w:rsidR="00EA27A6" w:rsidRPr="00AB1652">
        <w:rPr>
          <w:rFonts w:cs="Arial"/>
          <w:sz w:val="20"/>
        </w:rPr>
        <w:t xml:space="preserve"> in brackets</w:t>
      </w:r>
      <w:r w:rsidR="00FC58D0" w:rsidRPr="00AB1652">
        <w:rPr>
          <w:rFonts w:cs="Arial"/>
          <w:sz w:val="20"/>
        </w:rPr>
        <w:t>):</w:t>
      </w:r>
    </w:p>
    <w:p w:rsidR="00B87852" w:rsidRDefault="00B87852" w:rsidP="00B87852">
      <w:pPr>
        <w:ind w:left="720"/>
        <w:rPr>
          <w:rFonts w:cs="Arial"/>
          <w:sz w:val="20"/>
        </w:rPr>
      </w:pPr>
    </w:p>
    <w:tbl>
      <w:tblPr>
        <w:tblStyle w:val="TableGrid"/>
        <w:tblW w:w="8397"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
        <w:gridCol w:w="5100"/>
        <w:gridCol w:w="557"/>
        <w:gridCol w:w="983"/>
        <w:gridCol w:w="1276"/>
      </w:tblGrid>
      <w:tr w:rsidR="00121A16" w:rsidRPr="00AB1652" w:rsidTr="00121A16">
        <w:tc>
          <w:tcPr>
            <w:tcW w:w="481" w:type="dxa"/>
          </w:tcPr>
          <w:p w:rsidR="00121A16" w:rsidRPr="00AB1652" w:rsidRDefault="00121A16" w:rsidP="00372299">
            <w:pPr>
              <w:jc w:val="both"/>
              <w:rPr>
                <w:rFonts w:cs="Arial"/>
                <w:sz w:val="20"/>
              </w:rPr>
            </w:pPr>
            <w:r w:rsidRPr="00AB1652">
              <w:rPr>
                <w:rFonts w:cs="Arial"/>
                <w:sz w:val="20"/>
              </w:rPr>
              <w:t>-</w:t>
            </w:r>
          </w:p>
        </w:tc>
        <w:tc>
          <w:tcPr>
            <w:tcW w:w="5100" w:type="dxa"/>
          </w:tcPr>
          <w:p w:rsidR="00121A16" w:rsidRPr="00AB1652" w:rsidRDefault="00121A16" w:rsidP="00372299">
            <w:pPr>
              <w:jc w:val="both"/>
              <w:rPr>
                <w:rFonts w:cs="Arial"/>
                <w:sz w:val="20"/>
              </w:rPr>
            </w:pPr>
            <w:r w:rsidRPr="00AB1652">
              <w:rPr>
                <w:rFonts w:cs="Arial"/>
                <w:sz w:val="20"/>
              </w:rPr>
              <w:t>delay in responding to enquiries and requests</w:t>
            </w:r>
          </w:p>
        </w:tc>
        <w:tc>
          <w:tcPr>
            <w:tcW w:w="557" w:type="dxa"/>
          </w:tcPr>
          <w:p w:rsidR="00121A16" w:rsidRDefault="00121A16" w:rsidP="00372299">
            <w:pPr>
              <w:jc w:val="both"/>
              <w:rPr>
                <w:rFonts w:cs="Arial"/>
                <w:sz w:val="20"/>
              </w:rPr>
            </w:pPr>
            <w:r>
              <w:rPr>
                <w:rFonts w:cs="Arial"/>
                <w:sz w:val="20"/>
              </w:rPr>
              <w:t>-</w:t>
            </w:r>
          </w:p>
        </w:tc>
        <w:tc>
          <w:tcPr>
            <w:tcW w:w="983" w:type="dxa"/>
          </w:tcPr>
          <w:p w:rsidR="00121A16" w:rsidRPr="00AB1652" w:rsidRDefault="005D25E6" w:rsidP="0000321C">
            <w:pPr>
              <w:tabs>
                <w:tab w:val="decimal" w:pos="308"/>
              </w:tabs>
              <w:jc w:val="both"/>
              <w:rPr>
                <w:rFonts w:cs="Arial"/>
                <w:sz w:val="20"/>
              </w:rPr>
            </w:pPr>
            <w:r>
              <w:rPr>
                <w:rFonts w:cs="Arial"/>
                <w:sz w:val="20"/>
              </w:rPr>
              <w:t>13.8</w:t>
            </w:r>
            <w:r w:rsidR="00121A16">
              <w:rPr>
                <w:rFonts w:cs="Arial"/>
                <w:sz w:val="20"/>
              </w:rPr>
              <w:t>%</w:t>
            </w:r>
          </w:p>
        </w:tc>
        <w:tc>
          <w:tcPr>
            <w:tcW w:w="1276" w:type="dxa"/>
          </w:tcPr>
          <w:p w:rsidR="00121A16" w:rsidRPr="00AB1652" w:rsidRDefault="00121A16" w:rsidP="005D25E6">
            <w:pPr>
              <w:tabs>
                <w:tab w:val="decimal" w:pos="318"/>
              </w:tabs>
              <w:jc w:val="both"/>
              <w:rPr>
                <w:rFonts w:cs="Arial"/>
                <w:sz w:val="20"/>
              </w:rPr>
            </w:pPr>
            <w:r>
              <w:rPr>
                <w:rFonts w:cs="Arial"/>
                <w:sz w:val="20"/>
              </w:rPr>
              <w:t>(</w:t>
            </w:r>
            <w:r w:rsidR="005D25E6">
              <w:rPr>
                <w:rFonts w:cs="Arial"/>
                <w:sz w:val="20"/>
              </w:rPr>
              <w:t>10.9</w:t>
            </w:r>
            <w:r>
              <w:rPr>
                <w:rFonts w:cs="Arial"/>
                <w:sz w:val="20"/>
              </w:rPr>
              <w:t>%)</w:t>
            </w:r>
          </w:p>
        </w:tc>
      </w:tr>
      <w:tr w:rsidR="00121A16" w:rsidRPr="00AB1652" w:rsidTr="00121A16">
        <w:tc>
          <w:tcPr>
            <w:tcW w:w="481" w:type="dxa"/>
          </w:tcPr>
          <w:p w:rsidR="00121A16" w:rsidRPr="00AB1652" w:rsidRDefault="00121A16" w:rsidP="00372299">
            <w:pPr>
              <w:jc w:val="both"/>
              <w:rPr>
                <w:rFonts w:cs="Arial"/>
                <w:sz w:val="20"/>
              </w:rPr>
            </w:pPr>
            <w:r w:rsidRPr="00AB1652">
              <w:rPr>
                <w:rFonts w:cs="Arial"/>
                <w:sz w:val="20"/>
              </w:rPr>
              <w:t>-</w:t>
            </w:r>
          </w:p>
        </w:tc>
        <w:tc>
          <w:tcPr>
            <w:tcW w:w="5100" w:type="dxa"/>
          </w:tcPr>
          <w:p w:rsidR="00121A16" w:rsidRPr="00AB1652" w:rsidRDefault="00121A16" w:rsidP="00372299">
            <w:pPr>
              <w:jc w:val="both"/>
              <w:rPr>
                <w:rFonts w:cs="Arial"/>
                <w:sz w:val="20"/>
              </w:rPr>
            </w:pPr>
            <w:r w:rsidRPr="00AB1652">
              <w:rPr>
                <w:rFonts w:cs="Arial"/>
                <w:sz w:val="20"/>
              </w:rPr>
              <w:t>failure to meet our service standards</w:t>
            </w:r>
          </w:p>
        </w:tc>
        <w:tc>
          <w:tcPr>
            <w:tcW w:w="557" w:type="dxa"/>
          </w:tcPr>
          <w:p w:rsidR="00121A16" w:rsidRDefault="00121A16" w:rsidP="00372299">
            <w:pPr>
              <w:jc w:val="both"/>
              <w:rPr>
                <w:rFonts w:cs="Arial"/>
                <w:sz w:val="20"/>
              </w:rPr>
            </w:pPr>
            <w:r>
              <w:rPr>
                <w:rFonts w:cs="Arial"/>
                <w:sz w:val="20"/>
              </w:rPr>
              <w:t>-</w:t>
            </w:r>
          </w:p>
        </w:tc>
        <w:tc>
          <w:tcPr>
            <w:tcW w:w="983" w:type="dxa"/>
          </w:tcPr>
          <w:p w:rsidR="00121A16" w:rsidRPr="00AB1652" w:rsidRDefault="005D25E6" w:rsidP="0000321C">
            <w:pPr>
              <w:tabs>
                <w:tab w:val="decimal" w:pos="308"/>
              </w:tabs>
              <w:jc w:val="both"/>
              <w:rPr>
                <w:rFonts w:cs="Arial"/>
                <w:sz w:val="20"/>
              </w:rPr>
            </w:pPr>
            <w:r>
              <w:rPr>
                <w:rFonts w:cs="Arial"/>
                <w:sz w:val="20"/>
              </w:rPr>
              <w:t>21.5</w:t>
            </w:r>
            <w:r w:rsidR="00121A16">
              <w:rPr>
                <w:rFonts w:cs="Arial"/>
                <w:sz w:val="20"/>
              </w:rPr>
              <w:t>%</w:t>
            </w:r>
          </w:p>
        </w:tc>
        <w:tc>
          <w:tcPr>
            <w:tcW w:w="1276" w:type="dxa"/>
          </w:tcPr>
          <w:p w:rsidR="00121A16" w:rsidRPr="00AB1652" w:rsidRDefault="00121A16" w:rsidP="005D25E6">
            <w:pPr>
              <w:tabs>
                <w:tab w:val="decimal" w:pos="318"/>
              </w:tabs>
              <w:jc w:val="both"/>
              <w:rPr>
                <w:rFonts w:cs="Arial"/>
                <w:sz w:val="20"/>
              </w:rPr>
            </w:pPr>
            <w:r>
              <w:rPr>
                <w:rFonts w:cs="Arial"/>
                <w:sz w:val="20"/>
              </w:rPr>
              <w:t>(</w:t>
            </w:r>
            <w:r w:rsidR="005D25E6">
              <w:rPr>
                <w:rFonts w:cs="Arial"/>
                <w:sz w:val="20"/>
              </w:rPr>
              <w:t>19.7</w:t>
            </w:r>
            <w:r>
              <w:rPr>
                <w:rFonts w:cs="Arial"/>
                <w:sz w:val="20"/>
              </w:rPr>
              <w:t>%)</w:t>
            </w:r>
          </w:p>
        </w:tc>
      </w:tr>
      <w:tr w:rsidR="00121A16" w:rsidRPr="00AB1652" w:rsidTr="00121A16">
        <w:tc>
          <w:tcPr>
            <w:tcW w:w="481" w:type="dxa"/>
          </w:tcPr>
          <w:p w:rsidR="00121A16" w:rsidRPr="00AB1652" w:rsidRDefault="00121A16" w:rsidP="00372299">
            <w:pPr>
              <w:jc w:val="both"/>
              <w:rPr>
                <w:rFonts w:cs="Arial"/>
                <w:sz w:val="20"/>
              </w:rPr>
            </w:pPr>
            <w:r w:rsidRPr="00AB1652">
              <w:rPr>
                <w:rFonts w:cs="Arial"/>
                <w:sz w:val="20"/>
              </w:rPr>
              <w:t>-</w:t>
            </w:r>
          </w:p>
        </w:tc>
        <w:tc>
          <w:tcPr>
            <w:tcW w:w="5100" w:type="dxa"/>
          </w:tcPr>
          <w:p w:rsidR="00121A16" w:rsidRPr="00AB1652" w:rsidRDefault="00121A16" w:rsidP="00372299">
            <w:pPr>
              <w:jc w:val="both"/>
              <w:rPr>
                <w:rFonts w:cs="Arial"/>
                <w:sz w:val="20"/>
              </w:rPr>
            </w:pPr>
            <w:r w:rsidRPr="00AB1652">
              <w:rPr>
                <w:rFonts w:cs="Arial"/>
                <w:sz w:val="20"/>
              </w:rPr>
              <w:t>treatment by, or attitude of, a member of staff</w:t>
            </w:r>
          </w:p>
        </w:tc>
        <w:tc>
          <w:tcPr>
            <w:tcW w:w="557" w:type="dxa"/>
          </w:tcPr>
          <w:p w:rsidR="00121A16" w:rsidRDefault="00121A16" w:rsidP="00372299">
            <w:pPr>
              <w:jc w:val="both"/>
              <w:rPr>
                <w:rFonts w:cs="Arial"/>
                <w:sz w:val="20"/>
              </w:rPr>
            </w:pPr>
            <w:r>
              <w:rPr>
                <w:rFonts w:cs="Arial"/>
                <w:sz w:val="20"/>
              </w:rPr>
              <w:t>-</w:t>
            </w:r>
          </w:p>
        </w:tc>
        <w:tc>
          <w:tcPr>
            <w:tcW w:w="983" w:type="dxa"/>
          </w:tcPr>
          <w:p w:rsidR="00121A16" w:rsidRPr="00AB1652" w:rsidRDefault="005D25E6" w:rsidP="0000321C">
            <w:pPr>
              <w:tabs>
                <w:tab w:val="decimal" w:pos="308"/>
              </w:tabs>
              <w:jc w:val="both"/>
              <w:rPr>
                <w:rFonts w:cs="Arial"/>
                <w:sz w:val="20"/>
              </w:rPr>
            </w:pPr>
            <w:r>
              <w:rPr>
                <w:rFonts w:cs="Arial"/>
                <w:sz w:val="20"/>
              </w:rPr>
              <w:t>25.1</w:t>
            </w:r>
            <w:r w:rsidR="00121A16">
              <w:rPr>
                <w:rFonts w:cs="Arial"/>
                <w:sz w:val="20"/>
              </w:rPr>
              <w:t>%</w:t>
            </w:r>
          </w:p>
        </w:tc>
        <w:tc>
          <w:tcPr>
            <w:tcW w:w="1276" w:type="dxa"/>
          </w:tcPr>
          <w:p w:rsidR="00121A16" w:rsidRPr="00AB1652" w:rsidRDefault="00121A16" w:rsidP="005D25E6">
            <w:pPr>
              <w:tabs>
                <w:tab w:val="decimal" w:pos="318"/>
              </w:tabs>
              <w:jc w:val="both"/>
              <w:rPr>
                <w:rFonts w:cs="Arial"/>
                <w:sz w:val="20"/>
              </w:rPr>
            </w:pPr>
            <w:r>
              <w:rPr>
                <w:rFonts w:cs="Arial"/>
                <w:sz w:val="20"/>
              </w:rPr>
              <w:t>(</w:t>
            </w:r>
            <w:r w:rsidR="005D25E6">
              <w:rPr>
                <w:rFonts w:cs="Arial"/>
                <w:sz w:val="20"/>
              </w:rPr>
              <w:t>29.4</w:t>
            </w:r>
            <w:r>
              <w:rPr>
                <w:rFonts w:cs="Arial"/>
                <w:sz w:val="20"/>
              </w:rPr>
              <w:t>%)</w:t>
            </w:r>
          </w:p>
        </w:tc>
      </w:tr>
      <w:tr w:rsidR="00121A16" w:rsidRPr="00AB1652" w:rsidTr="00121A16">
        <w:tc>
          <w:tcPr>
            <w:tcW w:w="481" w:type="dxa"/>
          </w:tcPr>
          <w:p w:rsidR="00121A16" w:rsidRPr="00AB1652" w:rsidRDefault="00121A16" w:rsidP="00372299">
            <w:pPr>
              <w:jc w:val="both"/>
              <w:rPr>
                <w:rFonts w:cs="Arial"/>
                <w:sz w:val="20"/>
              </w:rPr>
            </w:pPr>
            <w:r w:rsidRPr="00AB1652">
              <w:rPr>
                <w:rFonts w:cs="Arial"/>
                <w:sz w:val="20"/>
              </w:rPr>
              <w:t>-</w:t>
            </w:r>
          </w:p>
        </w:tc>
        <w:tc>
          <w:tcPr>
            <w:tcW w:w="5100" w:type="dxa"/>
          </w:tcPr>
          <w:p w:rsidR="00121A16" w:rsidRPr="00AB1652" w:rsidRDefault="00121A16" w:rsidP="00372299">
            <w:pPr>
              <w:jc w:val="both"/>
              <w:rPr>
                <w:rFonts w:cs="Arial"/>
                <w:sz w:val="20"/>
              </w:rPr>
            </w:pPr>
            <w:r w:rsidRPr="00AB1652">
              <w:rPr>
                <w:rFonts w:cs="Arial"/>
                <w:sz w:val="20"/>
              </w:rPr>
              <w:t>failure to provide a service</w:t>
            </w:r>
          </w:p>
        </w:tc>
        <w:tc>
          <w:tcPr>
            <w:tcW w:w="557" w:type="dxa"/>
          </w:tcPr>
          <w:p w:rsidR="00121A16" w:rsidRDefault="00121A16" w:rsidP="00372299">
            <w:pPr>
              <w:jc w:val="both"/>
              <w:rPr>
                <w:rFonts w:cs="Arial"/>
                <w:sz w:val="20"/>
              </w:rPr>
            </w:pPr>
            <w:r>
              <w:rPr>
                <w:rFonts w:cs="Arial"/>
                <w:sz w:val="20"/>
              </w:rPr>
              <w:t>-</w:t>
            </w:r>
          </w:p>
        </w:tc>
        <w:tc>
          <w:tcPr>
            <w:tcW w:w="983" w:type="dxa"/>
          </w:tcPr>
          <w:p w:rsidR="00121A16" w:rsidRPr="00AB1652" w:rsidRDefault="005D25E6" w:rsidP="0000321C">
            <w:pPr>
              <w:tabs>
                <w:tab w:val="decimal" w:pos="308"/>
              </w:tabs>
              <w:jc w:val="both"/>
              <w:rPr>
                <w:rFonts w:cs="Arial"/>
                <w:sz w:val="20"/>
              </w:rPr>
            </w:pPr>
            <w:r>
              <w:rPr>
                <w:rFonts w:cs="Arial"/>
                <w:sz w:val="20"/>
              </w:rPr>
              <w:t>21.1</w:t>
            </w:r>
            <w:r w:rsidR="00121A16">
              <w:rPr>
                <w:rFonts w:cs="Arial"/>
                <w:sz w:val="20"/>
              </w:rPr>
              <w:t>%</w:t>
            </w:r>
          </w:p>
        </w:tc>
        <w:tc>
          <w:tcPr>
            <w:tcW w:w="1276" w:type="dxa"/>
          </w:tcPr>
          <w:p w:rsidR="00121A16" w:rsidRPr="00AB1652" w:rsidRDefault="00121A16" w:rsidP="005D25E6">
            <w:pPr>
              <w:tabs>
                <w:tab w:val="decimal" w:pos="318"/>
              </w:tabs>
              <w:jc w:val="both"/>
              <w:rPr>
                <w:rFonts w:cs="Arial"/>
                <w:sz w:val="20"/>
              </w:rPr>
            </w:pPr>
            <w:r>
              <w:rPr>
                <w:rFonts w:cs="Arial"/>
                <w:sz w:val="20"/>
              </w:rPr>
              <w:t>(</w:t>
            </w:r>
            <w:r w:rsidR="005D25E6">
              <w:rPr>
                <w:rFonts w:cs="Arial"/>
                <w:sz w:val="20"/>
              </w:rPr>
              <w:t>25.3</w:t>
            </w:r>
            <w:r>
              <w:rPr>
                <w:rFonts w:cs="Arial"/>
                <w:sz w:val="20"/>
              </w:rPr>
              <w:t>%)</w:t>
            </w:r>
          </w:p>
        </w:tc>
      </w:tr>
      <w:tr w:rsidR="00121A16" w:rsidRPr="00AB1652" w:rsidTr="00121A16">
        <w:tc>
          <w:tcPr>
            <w:tcW w:w="481" w:type="dxa"/>
          </w:tcPr>
          <w:p w:rsidR="00121A16" w:rsidRPr="00AB1652" w:rsidRDefault="00121A16" w:rsidP="00372299">
            <w:pPr>
              <w:jc w:val="both"/>
              <w:rPr>
                <w:rFonts w:cs="Arial"/>
                <w:sz w:val="20"/>
              </w:rPr>
            </w:pPr>
            <w:r w:rsidRPr="00AB1652">
              <w:rPr>
                <w:rFonts w:cs="Arial"/>
                <w:sz w:val="20"/>
              </w:rPr>
              <w:t>-</w:t>
            </w:r>
          </w:p>
        </w:tc>
        <w:tc>
          <w:tcPr>
            <w:tcW w:w="5100" w:type="dxa"/>
          </w:tcPr>
          <w:p w:rsidR="00121A16" w:rsidRPr="00AB1652" w:rsidRDefault="00121A16" w:rsidP="00372299">
            <w:pPr>
              <w:jc w:val="both"/>
              <w:rPr>
                <w:rFonts w:cs="Arial"/>
                <w:sz w:val="20"/>
              </w:rPr>
            </w:pPr>
            <w:r w:rsidRPr="00AB1652">
              <w:rPr>
                <w:rFonts w:cs="Arial"/>
                <w:sz w:val="20"/>
              </w:rPr>
              <w:t xml:space="preserve">dissatisfaction with our policy </w:t>
            </w:r>
          </w:p>
        </w:tc>
        <w:tc>
          <w:tcPr>
            <w:tcW w:w="557" w:type="dxa"/>
          </w:tcPr>
          <w:p w:rsidR="00121A16" w:rsidRDefault="00121A16" w:rsidP="007A4634">
            <w:pPr>
              <w:jc w:val="both"/>
              <w:rPr>
                <w:rFonts w:cs="Arial"/>
                <w:sz w:val="20"/>
              </w:rPr>
            </w:pPr>
            <w:r>
              <w:rPr>
                <w:rFonts w:cs="Arial"/>
                <w:sz w:val="20"/>
              </w:rPr>
              <w:t>-</w:t>
            </w:r>
          </w:p>
        </w:tc>
        <w:tc>
          <w:tcPr>
            <w:tcW w:w="983" w:type="dxa"/>
          </w:tcPr>
          <w:p w:rsidR="00121A16" w:rsidRPr="00AB1652" w:rsidRDefault="005D25E6" w:rsidP="0000321C">
            <w:pPr>
              <w:tabs>
                <w:tab w:val="decimal" w:pos="308"/>
              </w:tabs>
              <w:jc w:val="both"/>
              <w:rPr>
                <w:rFonts w:cs="Arial"/>
                <w:sz w:val="20"/>
              </w:rPr>
            </w:pPr>
            <w:r>
              <w:rPr>
                <w:rFonts w:cs="Arial"/>
                <w:sz w:val="20"/>
              </w:rPr>
              <w:t>12.3</w:t>
            </w:r>
            <w:r w:rsidR="00121A16">
              <w:rPr>
                <w:rFonts w:cs="Arial"/>
                <w:sz w:val="20"/>
              </w:rPr>
              <w:t>%</w:t>
            </w:r>
          </w:p>
        </w:tc>
        <w:tc>
          <w:tcPr>
            <w:tcW w:w="1276" w:type="dxa"/>
          </w:tcPr>
          <w:p w:rsidR="00121A16" w:rsidRPr="00AB1652" w:rsidRDefault="00121A16" w:rsidP="005D25E6">
            <w:pPr>
              <w:tabs>
                <w:tab w:val="decimal" w:pos="318"/>
              </w:tabs>
              <w:jc w:val="both"/>
              <w:rPr>
                <w:rFonts w:cs="Arial"/>
                <w:sz w:val="20"/>
              </w:rPr>
            </w:pPr>
            <w:r>
              <w:rPr>
                <w:rFonts w:cs="Arial"/>
                <w:sz w:val="20"/>
              </w:rPr>
              <w:t>(</w:t>
            </w:r>
            <w:r w:rsidR="005D25E6">
              <w:rPr>
                <w:rFonts w:cs="Arial"/>
                <w:sz w:val="20"/>
              </w:rPr>
              <w:t>8.3</w:t>
            </w:r>
            <w:r>
              <w:rPr>
                <w:rFonts w:cs="Arial"/>
                <w:sz w:val="20"/>
              </w:rPr>
              <w:t>%)</w:t>
            </w:r>
          </w:p>
        </w:tc>
      </w:tr>
      <w:tr w:rsidR="00121A16" w:rsidRPr="00AB1652" w:rsidTr="00121A16">
        <w:tc>
          <w:tcPr>
            <w:tcW w:w="481" w:type="dxa"/>
          </w:tcPr>
          <w:p w:rsidR="00121A16" w:rsidRPr="00AB1652" w:rsidRDefault="00121A16" w:rsidP="00372299">
            <w:pPr>
              <w:jc w:val="both"/>
              <w:rPr>
                <w:rFonts w:cs="Arial"/>
                <w:sz w:val="20"/>
              </w:rPr>
            </w:pPr>
            <w:r w:rsidRPr="00AB1652">
              <w:rPr>
                <w:rFonts w:cs="Arial"/>
                <w:sz w:val="20"/>
              </w:rPr>
              <w:t>-</w:t>
            </w:r>
          </w:p>
        </w:tc>
        <w:tc>
          <w:tcPr>
            <w:tcW w:w="5100" w:type="dxa"/>
          </w:tcPr>
          <w:p w:rsidR="00121A16" w:rsidRPr="00AB1652" w:rsidRDefault="00121A16" w:rsidP="00372299">
            <w:pPr>
              <w:jc w:val="both"/>
              <w:rPr>
                <w:rFonts w:cs="Arial"/>
                <w:sz w:val="20"/>
              </w:rPr>
            </w:pPr>
            <w:r w:rsidRPr="00AB1652">
              <w:rPr>
                <w:rFonts w:cs="Arial"/>
                <w:sz w:val="20"/>
              </w:rPr>
              <w:t>failure to follow the proper administrative process</w:t>
            </w:r>
          </w:p>
        </w:tc>
        <w:tc>
          <w:tcPr>
            <w:tcW w:w="557" w:type="dxa"/>
          </w:tcPr>
          <w:p w:rsidR="00121A16" w:rsidRDefault="00121A16" w:rsidP="00372299">
            <w:pPr>
              <w:jc w:val="both"/>
              <w:rPr>
                <w:rFonts w:cs="Arial"/>
                <w:sz w:val="20"/>
              </w:rPr>
            </w:pPr>
            <w:r>
              <w:rPr>
                <w:rFonts w:cs="Arial"/>
                <w:sz w:val="20"/>
              </w:rPr>
              <w:t>-</w:t>
            </w:r>
          </w:p>
        </w:tc>
        <w:tc>
          <w:tcPr>
            <w:tcW w:w="983" w:type="dxa"/>
          </w:tcPr>
          <w:p w:rsidR="00121A16" w:rsidRPr="00AB1652" w:rsidRDefault="005D25E6" w:rsidP="0000321C">
            <w:pPr>
              <w:tabs>
                <w:tab w:val="decimal" w:pos="308"/>
              </w:tabs>
              <w:jc w:val="both"/>
              <w:rPr>
                <w:rFonts w:cs="Arial"/>
                <w:sz w:val="20"/>
              </w:rPr>
            </w:pPr>
            <w:r>
              <w:rPr>
                <w:rFonts w:cs="Arial"/>
                <w:sz w:val="20"/>
              </w:rPr>
              <w:t>5.4</w:t>
            </w:r>
            <w:r w:rsidR="00121A16">
              <w:rPr>
                <w:rFonts w:cs="Arial"/>
                <w:sz w:val="20"/>
              </w:rPr>
              <w:t>%</w:t>
            </w:r>
          </w:p>
        </w:tc>
        <w:tc>
          <w:tcPr>
            <w:tcW w:w="1276" w:type="dxa"/>
          </w:tcPr>
          <w:p w:rsidR="00121A16" w:rsidRPr="00AB1652" w:rsidRDefault="005F358C" w:rsidP="005D25E6">
            <w:pPr>
              <w:tabs>
                <w:tab w:val="decimal" w:pos="318"/>
              </w:tabs>
              <w:jc w:val="both"/>
              <w:rPr>
                <w:rFonts w:cs="Arial"/>
                <w:sz w:val="20"/>
              </w:rPr>
            </w:pPr>
            <w:r>
              <w:rPr>
                <w:rFonts w:cs="Arial"/>
                <w:sz w:val="20"/>
              </w:rPr>
              <w:t>(</w:t>
            </w:r>
            <w:r w:rsidR="005D25E6">
              <w:rPr>
                <w:rFonts w:cs="Arial"/>
                <w:sz w:val="20"/>
              </w:rPr>
              <w:t>5.2</w:t>
            </w:r>
            <w:r w:rsidR="00121A16">
              <w:rPr>
                <w:rFonts w:cs="Arial"/>
                <w:sz w:val="20"/>
              </w:rPr>
              <w:t>%)</w:t>
            </w:r>
          </w:p>
        </w:tc>
      </w:tr>
      <w:tr w:rsidR="00121A16" w:rsidRPr="00AB1652" w:rsidTr="0000321C">
        <w:trPr>
          <w:trHeight w:val="80"/>
        </w:trPr>
        <w:tc>
          <w:tcPr>
            <w:tcW w:w="481" w:type="dxa"/>
          </w:tcPr>
          <w:p w:rsidR="00121A16" w:rsidRPr="00AB1652" w:rsidRDefault="00121A16" w:rsidP="00372299">
            <w:pPr>
              <w:jc w:val="both"/>
              <w:rPr>
                <w:rFonts w:cs="Arial"/>
                <w:sz w:val="20"/>
              </w:rPr>
            </w:pPr>
            <w:r w:rsidRPr="00AB1652">
              <w:rPr>
                <w:rFonts w:cs="Arial"/>
                <w:sz w:val="20"/>
              </w:rPr>
              <w:t>-</w:t>
            </w:r>
          </w:p>
        </w:tc>
        <w:tc>
          <w:tcPr>
            <w:tcW w:w="5100" w:type="dxa"/>
          </w:tcPr>
          <w:p w:rsidR="00121A16" w:rsidRPr="00AB1652" w:rsidRDefault="00121A16" w:rsidP="00372299">
            <w:pPr>
              <w:jc w:val="both"/>
              <w:rPr>
                <w:rFonts w:cs="Arial"/>
                <w:sz w:val="20"/>
              </w:rPr>
            </w:pPr>
            <w:r w:rsidRPr="00AB1652">
              <w:rPr>
                <w:rFonts w:cs="Arial"/>
                <w:sz w:val="20"/>
              </w:rPr>
              <w:t>refusal to give advice or answer questions</w:t>
            </w:r>
          </w:p>
        </w:tc>
        <w:tc>
          <w:tcPr>
            <w:tcW w:w="557" w:type="dxa"/>
          </w:tcPr>
          <w:p w:rsidR="00121A16" w:rsidRDefault="00121A16" w:rsidP="00372299">
            <w:pPr>
              <w:jc w:val="both"/>
              <w:rPr>
                <w:rFonts w:cs="Arial"/>
                <w:sz w:val="20"/>
              </w:rPr>
            </w:pPr>
            <w:r>
              <w:rPr>
                <w:rFonts w:cs="Arial"/>
                <w:sz w:val="20"/>
              </w:rPr>
              <w:t>-</w:t>
            </w:r>
          </w:p>
        </w:tc>
        <w:tc>
          <w:tcPr>
            <w:tcW w:w="983" w:type="dxa"/>
          </w:tcPr>
          <w:p w:rsidR="00121A16" w:rsidRPr="00AB1652" w:rsidRDefault="005D25E6" w:rsidP="0000321C">
            <w:pPr>
              <w:tabs>
                <w:tab w:val="decimal" w:pos="308"/>
              </w:tabs>
              <w:jc w:val="both"/>
              <w:rPr>
                <w:rFonts w:cs="Arial"/>
                <w:sz w:val="20"/>
              </w:rPr>
            </w:pPr>
            <w:r>
              <w:rPr>
                <w:rFonts w:cs="Arial"/>
                <w:sz w:val="20"/>
              </w:rPr>
              <w:t>0.8</w:t>
            </w:r>
            <w:r w:rsidR="00121A16">
              <w:rPr>
                <w:rFonts w:cs="Arial"/>
                <w:sz w:val="20"/>
              </w:rPr>
              <w:t>%</w:t>
            </w:r>
          </w:p>
        </w:tc>
        <w:tc>
          <w:tcPr>
            <w:tcW w:w="1276" w:type="dxa"/>
          </w:tcPr>
          <w:p w:rsidR="00121A16" w:rsidRPr="00AB1652" w:rsidRDefault="005F358C" w:rsidP="005D25E6">
            <w:pPr>
              <w:tabs>
                <w:tab w:val="decimal" w:pos="318"/>
              </w:tabs>
              <w:jc w:val="both"/>
              <w:rPr>
                <w:rFonts w:cs="Arial"/>
                <w:sz w:val="20"/>
              </w:rPr>
            </w:pPr>
            <w:r>
              <w:rPr>
                <w:rFonts w:cs="Arial"/>
                <w:sz w:val="20"/>
              </w:rPr>
              <w:t>(</w:t>
            </w:r>
            <w:r w:rsidR="005D25E6">
              <w:rPr>
                <w:rFonts w:cs="Arial"/>
                <w:sz w:val="20"/>
              </w:rPr>
              <w:t>1.1</w:t>
            </w:r>
            <w:r w:rsidR="00121A16">
              <w:rPr>
                <w:rFonts w:cs="Arial"/>
                <w:sz w:val="20"/>
              </w:rPr>
              <w:t>%</w:t>
            </w:r>
            <w:r>
              <w:rPr>
                <w:rFonts w:cs="Arial"/>
                <w:sz w:val="20"/>
              </w:rPr>
              <w:t>)</w:t>
            </w:r>
          </w:p>
        </w:tc>
      </w:tr>
    </w:tbl>
    <w:p w:rsidR="009B6344" w:rsidRPr="00AB1652" w:rsidRDefault="009B6344" w:rsidP="00C40470">
      <w:pPr>
        <w:ind w:left="1080"/>
        <w:jc w:val="both"/>
        <w:rPr>
          <w:rFonts w:cs="Arial"/>
          <w:sz w:val="20"/>
        </w:rPr>
      </w:pPr>
    </w:p>
    <w:p w:rsidR="000127A5" w:rsidRDefault="00F061B8" w:rsidP="00AD2E1A">
      <w:pPr>
        <w:tabs>
          <w:tab w:val="left" w:pos="1080"/>
        </w:tabs>
        <w:ind w:left="1080"/>
        <w:jc w:val="both"/>
        <w:rPr>
          <w:rFonts w:cs="Arial"/>
          <w:sz w:val="20"/>
        </w:rPr>
      </w:pPr>
      <w:r w:rsidRPr="00AB1652">
        <w:rPr>
          <w:rFonts w:cs="Arial"/>
          <w:sz w:val="20"/>
        </w:rPr>
        <w:t xml:space="preserve">Complaints categorised as relating to treatment by or attitude of staff continue to be the highest group.  </w:t>
      </w:r>
      <w:r w:rsidR="00206292">
        <w:rPr>
          <w:rFonts w:cs="Arial"/>
          <w:sz w:val="20"/>
        </w:rPr>
        <w:t>T</w:t>
      </w:r>
      <w:r w:rsidR="000127A5">
        <w:rPr>
          <w:rFonts w:cs="Arial"/>
          <w:sz w:val="20"/>
        </w:rPr>
        <w:t xml:space="preserve">he Complaints Review Group (which normally reviews a random sample of complaints) </w:t>
      </w:r>
      <w:r w:rsidR="00C71787">
        <w:rPr>
          <w:rFonts w:cs="Arial"/>
          <w:sz w:val="20"/>
        </w:rPr>
        <w:t>has looked</w:t>
      </w:r>
      <w:r w:rsidR="000127A5">
        <w:rPr>
          <w:rFonts w:cs="Arial"/>
          <w:sz w:val="20"/>
        </w:rPr>
        <w:t xml:space="preserve"> specifically </w:t>
      </w:r>
      <w:r w:rsidR="00C71787">
        <w:rPr>
          <w:rFonts w:cs="Arial"/>
          <w:sz w:val="20"/>
        </w:rPr>
        <w:t>at</w:t>
      </w:r>
      <w:r w:rsidR="000127A5">
        <w:rPr>
          <w:rFonts w:cs="Arial"/>
          <w:sz w:val="20"/>
        </w:rPr>
        <w:t xml:space="preserve"> ‘staff attitude’ complaints</w:t>
      </w:r>
      <w:r w:rsidR="00206292">
        <w:rPr>
          <w:rFonts w:cs="Arial"/>
          <w:sz w:val="20"/>
        </w:rPr>
        <w:t xml:space="preserve"> and found</w:t>
      </w:r>
      <w:r w:rsidR="000127A5">
        <w:rPr>
          <w:rFonts w:cs="Arial"/>
          <w:sz w:val="20"/>
        </w:rPr>
        <w:t xml:space="preserve"> that </w:t>
      </w:r>
      <w:r w:rsidR="006827AB">
        <w:rPr>
          <w:rFonts w:cs="Arial"/>
          <w:sz w:val="20"/>
        </w:rPr>
        <w:t>a high proportion</w:t>
      </w:r>
      <w:r w:rsidR="000127A5">
        <w:rPr>
          <w:rFonts w:cs="Arial"/>
          <w:sz w:val="20"/>
        </w:rPr>
        <w:t xml:space="preserve"> of the complaints had not been upheld, this decision sometimes being assisted by the investigating officer being able to listen to a recording of a telephone conversation to confirm that the member of staff had behaved appropriately.  This is borne out by analysis of the % of complaints upheld, which is lower in the case of ‘staff’ complaints than the average.  </w:t>
      </w:r>
      <w:r w:rsidR="00206292">
        <w:rPr>
          <w:rFonts w:cs="Arial"/>
          <w:sz w:val="20"/>
        </w:rPr>
        <w:t xml:space="preserve">While 24.9% of stage 1 complaints were upheld overall, the % upheld for complaints relating to staff attitude and behaviour was much lower at 13.6% (partially upheld staff complaints were 19.4% so above the overall 13.9% figure).  </w:t>
      </w:r>
      <w:r w:rsidR="000127A5">
        <w:rPr>
          <w:rFonts w:cs="Arial"/>
          <w:sz w:val="20"/>
        </w:rPr>
        <w:t>While action has been and will continue to be taken where members of staff do not give a good standard of customer service, this review (along with the very positive scores in the annual consumer survey for the courtesy, friendliness and helpfulness of staff) does not suggest any widespread concern about the attitude or behaviour of employees.</w:t>
      </w:r>
    </w:p>
    <w:p w:rsidR="000127A5" w:rsidRDefault="000127A5" w:rsidP="00AD2E1A">
      <w:pPr>
        <w:tabs>
          <w:tab w:val="left" w:pos="1080"/>
        </w:tabs>
        <w:ind w:left="1080"/>
        <w:jc w:val="both"/>
        <w:rPr>
          <w:rFonts w:cs="Arial"/>
          <w:sz w:val="20"/>
        </w:rPr>
      </w:pPr>
    </w:p>
    <w:p w:rsidR="00EA27A6" w:rsidRDefault="006827AB" w:rsidP="00AD2E1A">
      <w:pPr>
        <w:tabs>
          <w:tab w:val="left" w:pos="1080"/>
        </w:tabs>
        <w:ind w:left="1080"/>
        <w:jc w:val="both"/>
        <w:rPr>
          <w:rFonts w:cs="Arial"/>
          <w:sz w:val="20"/>
        </w:rPr>
      </w:pPr>
      <w:r>
        <w:rPr>
          <w:rFonts w:cs="Arial"/>
          <w:sz w:val="20"/>
        </w:rPr>
        <w:t xml:space="preserve">The other </w:t>
      </w:r>
      <w:r w:rsidR="006D0A9B">
        <w:rPr>
          <w:rFonts w:cs="Arial"/>
          <w:sz w:val="20"/>
        </w:rPr>
        <w:t>categories</w:t>
      </w:r>
      <w:r>
        <w:rPr>
          <w:rFonts w:cs="Arial"/>
          <w:sz w:val="20"/>
        </w:rPr>
        <w:t xml:space="preserve"> of complaints with a high % of cases </w:t>
      </w:r>
      <w:r w:rsidR="001D0CF8">
        <w:rPr>
          <w:rFonts w:cs="Arial"/>
          <w:sz w:val="20"/>
        </w:rPr>
        <w:t xml:space="preserve">are 'failure to meet service standards' and </w:t>
      </w:r>
      <w:r w:rsidR="00AB55A6">
        <w:rPr>
          <w:rFonts w:cs="Arial"/>
          <w:sz w:val="20"/>
        </w:rPr>
        <w:t xml:space="preserve">‘failure to provide a service’.  </w:t>
      </w:r>
      <w:r w:rsidR="0000321C">
        <w:rPr>
          <w:rFonts w:cs="Arial"/>
          <w:sz w:val="20"/>
        </w:rPr>
        <w:t>De</w:t>
      </w:r>
      <w:r w:rsidR="00AB55A6">
        <w:rPr>
          <w:rFonts w:cs="Arial"/>
          <w:sz w:val="20"/>
        </w:rPr>
        <w:t xml:space="preserve">tailed analysis suggests that the root cause of these is generally a service not being satisfactorily implemented as </w:t>
      </w:r>
      <w:r w:rsidR="007A12C4">
        <w:rPr>
          <w:rFonts w:cs="Arial"/>
          <w:sz w:val="20"/>
        </w:rPr>
        <w:t>quickly as the</w:t>
      </w:r>
      <w:r w:rsidR="001D0CF8">
        <w:rPr>
          <w:rFonts w:cs="Arial"/>
          <w:sz w:val="20"/>
        </w:rPr>
        <w:t xml:space="preserve"> customer expected.</w:t>
      </w:r>
    </w:p>
    <w:p w:rsidR="00A156E5" w:rsidRDefault="00A156E5" w:rsidP="00AD2E1A">
      <w:pPr>
        <w:tabs>
          <w:tab w:val="left" w:pos="1080"/>
        </w:tabs>
        <w:ind w:left="1080"/>
        <w:jc w:val="both"/>
        <w:rPr>
          <w:rFonts w:cs="Arial"/>
          <w:sz w:val="20"/>
        </w:rPr>
      </w:pPr>
    </w:p>
    <w:p w:rsidR="00F03452" w:rsidRPr="00AB1652" w:rsidRDefault="00AF2F46" w:rsidP="00377443">
      <w:pPr>
        <w:numPr>
          <w:ilvl w:val="0"/>
          <w:numId w:val="10"/>
        </w:numPr>
        <w:jc w:val="both"/>
        <w:rPr>
          <w:rFonts w:cs="Arial"/>
          <w:sz w:val="20"/>
        </w:rPr>
      </w:pPr>
      <w:r>
        <w:rPr>
          <w:rFonts w:cs="Arial"/>
          <w:sz w:val="20"/>
        </w:rPr>
        <w:t>57</w:t>
      </w:r>
      <w:r w:rsidR="008D6BF2" w:rsidRPr="00AB1652">
        <w:rPr>
          <w:rFonts w:cs="Arial"/>
          <w:sz w:val="20"/>
        </w:rPr>
        <w:t xml:space="preserve"> </w:t>
      </w:r>
      <w:r w:rsidR="00B77F68" w:rsidRPr="00AB1652">
        <w:rPr>
          <w:rFonts w:cs="Arial"/>
          <w:sz w:val="20"/>
        </w:rPr>
        <w:t>people</w:t>
      </w:r>
      <w:r w:rsidR="003B6B3D" w:rsidRPr="00AB1652">
        <w:rPr>
          <w:rFonts w:cs="Arial"/>
          <w:sz w:val="20"/>
        </w:rPr>
        <w:t xml:space="preserve"> made more than one complaint</w:t>
      </w:r>
      <w:r w:rsidR="00D20713" w:rsidRPr="00AB1652">
        <w:rPr>
          <w:rFonts w:cs="Arial"/>
          <w:sz w:val="20"/>
        </w:rPr>
        <w:t xml:space="preserve"> during </w:t>
      </w:r>
      <w:r w:rsidR="005F358C">
        <w:rPr>
          <w:rFonts w:cs="Arial"/>
          <w:sz w:val="20"/>
        </w:rPr>
        <w:t>201</w:t>
      </w:r>
      <w:r w:rsidR="00DE5B85">
        <w:rPr>
          <w:rFonts w:cs="Arial"/>
          <w:sz w:val="20"/>
        </w:rPr>
        <w:t>8</w:t>
      </w:r>
      <w:r w:rsidR="005F358C">
        <w:rPr>
          <w:rFonts w:cs="Arial"/>
          <w:sz w:val="20"/>
        </w:rPr>
        <w:t>/201</w:t>
      </w:r>
      <w:r w:rsidR="00DE5B85">
        <w:rPr>
          <w:rFonts w:cs="Arial"/>
          <w:sz w:val="20"/>
        </w:rPr>
        <w:t>9</w:t>
      </w:r>
      <w:r w:rsidR="00354E71" w:rsidRPr="00AB1652">
        <w:rPr>
          <w:rFonts w:cs="Arial"/>
          <w:sz w:val="20"/>
        </w:rPr>
        <w:t xml:space="preserve"> -</w:t>
      </w:r>
      <w:r w:rsidR="008D6BF2" w:rsidRPr="00AB1652">
        <w:rPr>
          <w:rFonts w:cs="Arial"/>
          <w:sz w:val="20"/>
        </w:rPr>
        <w:t xml:space="preserve"> </w:t>
      </w:r>
      <w:r w:rsidR="0000321C">
        <w:rPr>
          <w:rFonts w:cs="Arial"/>
          <w:sz w:val="20"/>
        </w:rPr>
        <w:t>3</w:t>
      </w:r>
      <w:r w:rsidR="00DE5B85">
        <w:rPr>
          <w:rFonts w:cs="Arial"/>
          <w:sz w:val="20"/>
        </w:rPr>
        <w:t>9</w:t>
      </w:r>
      <w:r w:rsidR="00EA27A6" w:rsidRPr="00AB1652">
        <w:rPr>
          <w:rFonts w:cs="Arial"/>
          <w:sz w:val="20"/>
        </w:rPr>
        <w:t xml:space="preserve"> made </w:t>
      </w:r>
      <w:r w:rsidR="0000321C">
        <w:rPr>
          <w:rFonts w:cs="Arial"/>
          <w:sz w:val="20"/>
        </w:rPr>
        <w:t>two</w:t>
      </w:r>
      <w:r w:rsidR="00982058" w:rsidRPr="00AB1652">
        <w:rPr>
          <w:rFonts w:cs="Arial"/>
          <w:sz w:val="20"/>
        </w:rPr>
        <w:t xml:space="preserve"> complaints</w:t>
      </w:r>
      <w:r w:rsidR="00BB2C93" w:rsidRPr="00AB1652">
        <w:rPr>
          <w:rFonts w:cs="Arial"/>
          <w:sz w:val="20"/>
        </w:rPr>
        <w:t xml:space="preserve">, </w:t>
      </w:r>
      <w:r w:rsidR="00DE5B85">
        <w:rPr>
          <w:rFonts w:cs="Arial"/>
          <w:sz w:val="20"/>
        </w:rPr>
        <w:t>9</w:t>
      </w:r>
      <w:r w:rsidR="009231AF">
        <w:rPr>
          <w:rFonts w:cs="Arial"/>
          <w:sz w:val="20"/>
        </w:rPr>
        <w:t xml:space="preserve"> </w:t>
      </w:r>
      <w:r w:rsidR="00EA27A6" w:rsidRPr="00AB1652">
        <w:rPr>
          <w:rFonts w:cs="Arial"/>
          <w:sz w:val="20"/>
        </w:rPr>
        <w:t xml:space="preserve">made </w:t>
      </w:r>
      <w:r w:rsidR="009D6271">
        <w:rPr>
          <w:rFonts w:cs="Arial"/>
          <w:sz w:val="20"/>
        </w:rPr>
        <w:t>three</w:t>
      </w:r>
      <w:r w:rsidR="00BB2C93" w:rsidRPr="00AB1652">
        <w:rPr>
          <w:rFonts w:cs="Arial"/>
          <w:sz w:val="20"/>
        </w:rPr>
        <w:t xml:space="preserve"> complaint</w:t>
      </w:r>
      <w:r w:rsidR="008D6BF2" w:rsidRPr="00AB1652">
        <w:rPr>
          <w:rFonts w:cs="Arial"/>
          <w:sz w:val="20"/>
        </w:rPr>
        <w:t>s</w:t>
      </w:r>
      <w:r w:rsidR="007A12C4">
        <w:rPr>
          <w:rFonts w:cs="Arial"/>
          <w:sz w:val="20"/>
        </w:rPr>
        <w:t xml:space="preserve"> and </w:t>
      </w:r>
      <w:r w:rsidR="00DE5B85">
        <w:rPr>
          <w:rFonts w:cs="Arial"/>
          <w:sz w:val="20"/>
        </w:rPr>
        <w:t>9</w:t>
      </w:r>
      <w:r w:rsidR="007A12C4">
        <w:rPr>
          <w:rFonts w:cs="Arial"/>
          <w:sz w:val="20"/>
        </w:rPr>
        <w:t xml:space="preserve"> made </w:t>
      </w:r>
      <w:r w:rsidR="009D6271">
        <w:rPr>
          <w:rFonts w:cs="Arial"/>
          <w:sz w:val="20"/>
        </w:rPr>
        <w:t>four</w:t>
      </w:r>
      <w:r w:rsidR="007A12C4">
        <w:rPr>
          <w:rFonts w:cs="Arial"/>
          <w:sz w:val="20"/>
        </w:rPr>
        <w:t xml:space="preserve"> </w:t>
      </w:r>
      <w:r w:rsidR="00DE5B85">
        <w:rPr>
          <w:rFonts w:cs="Arial"/>
          <w:sz w:val="20"/>
        </w:rPr>
        <w:t xml:space="preserve">or more </w:t>
      </w:r>
      <w:r w:rsidR="007A12C4">
        <w:rPr>
          <w:rFonts w:cs="Arial"/>
          <w:sz w:val="20"/>
        </w:rPr>
        <w:t>complaints</w:t>
      </w:r>
      <w:r w:rsidR="00C40470" w:rsidRPr="00AB1652">
        <w:rPr>
          <w:rFonts w:cs="Arial"/>
          <w:sz w:val="20"/>
        </w:rPr>
        <w:t>.</w:t>
      </w:r>
    </w:p>
    <w:p w:rsidR="00DF2439" w:rsidRPr="00AB1652" w:rsidRDefault="00DF2439" w:rsidP="00DF2439">
      <w:pPr>
        <w:jc w:val="both"/>
        <w:rPr>
          <w:rFonts w:cs="Arial"/>
          <w:sz w:val="20"/>
        </w:rPr>
      </w:pPr>
    </w:p>
    <w:p w:rsidR="00DF2439" w:rsidRPr="00AB1652" w:rsidRDefault="00DF2439" w:rsidP="00DF2439">
      <w:pPr>
        <w:ind w:left="720" w:hanging="720"/>
        <w:jc w:val="both"/>
        <w:rPr>
          <w:sz w:val="20"/>
        </w:rPr>
      </w:pPr>
      <w:r>
        <w:rPr>
          <w:rFonts w:cs="Arial"/>
          <w:sz w:val="20"/>
        </w:rPr>
        <w:t>5.2</w:t>
      </w:r>
      <w:r w:rsidRPr="00AB1652">
        <w:rPr>
          <w:rFonts w:cs="Arial"/>
          <w:sz w:val="20"/>
        </w:rPr>
        <w:tab/>
      </w:r>
      <w:r w:rsidRPr="00AB1652">
        <w:rPr>
          <w:sz w:val="20"/>
        </w:rPr>
        <w:t>To put the number of complaints received into context, the Council manages a huge volume of transactions with customers.  For example, in a typical year we:</w:t>
      </w:r>
    </w:p>
    <w:p w:rsidR="00DF2439" w:rsidRPr="00AB1652" w:rsidRDefault="00DF2439" w:rsidP="00DF2439">
      <w:pPr>
        <w:ind w:left="1134" w:hanging="436"/>
        <w:jc w:val="both"/>
        <w:rPr>
          <w:sz w:val="20"/>
        </w:rPr>
      </w:pPr>
    </w:p>
    <w:p w:rsidR="00DF2439" w:rsidRPr="00AB1652" w:rsidRDefault="00DF2439" w:rsidP="00DF2439">
      <w:pPr>
        <w:pStyle w:val="ListParagraph"/>
        <w:numPr>
          <w:ilvl w:val="0"/>
          <w:numId w:val="3"/>
        </w:numPr>
        <w:ind w:left="1134" w:hanging="436"/>
        <w:contextualSpacing/>
        <w:jc w:val="both"/>
        <w:rPr>
          <w:sz w:val="20"/>
        </w:rPr>
      </w:pPr>
      <w:r w:rsidRPr="00AB1652">
        <w:rPr>
          <w:sz w:val="20"/>
        </w:rPr>
        <w:t xml:space="preserve">manage </w:t>
      </w:r>
      <w:r>
        <w:rPr>
          <w:sz w:val="20"/>
        </w:rPr>
        <w:t>around 12,500</w:t>
      </w:r>
      <w:r w:rsidRPr="00AB1652">
        <w:rPr>
          <w:sz w:val="20"/>
        </w:rPr>
        <w:t xml:space="preserve"> Council houses and relet </w:t>
      </w:r>
      <w:r>
        <w:rPr>
          <w:sz w:val="20"/>
        </w:rPr>
        <w:t>around 1,2</w:t>
      </w:r>
      <w:r w:rsidRPr="00AB1652">
        <w:rPr>
          <w:sz w:val="20"/>
        </w:rPr>
        <w:t>00 of these.</w:t>
      </w:r>
    </w:p>
    <w:p w:rsidR="00DF2439" w:rsidRPr="00AB1652" w:rsidRDefault="00DF2439" w:rsidP="00DF2439">
      <w:pPr>
        <w:pStyle w:val="ListParagraph"/>
        <w:ind w:left="1134" w:hanging="436"/>
        <w:jc w:val="both"/>
        <w:rPr>
          <w:sz w:val="20"/>
        </w:rPr>
      </w:pPr>
    </w:p>
    <w:p w:rsidR="00DF2439" w:rsidRPr="00AB1652" w:rsidRDefault="00DF2439" w:rsidP="00DF2439">
      <w:pPr>
        <w:pStyle w:val="ListParagraph"/>
        <w:numPr>
          <w:ilvl w:val="0"/>
          <w:numId w:val="14"/>
        </w:numPr>
        <w:ind w:left="1134" w:hanging="436"/>
        <w:contextualSpacing/>
        <w:jc w:val="both"/>
        <w:rPr>
          <w:sz w:val="20"/>
        </w:rPr>
      </w:pPr>
      <w:r w:rsidRPr="00AB1652">
        <w:rPr>
          <w:sz w:val="20"/>
        </w:rPr>
        <w:t>carry out around 55,000 repairs and deal with over 1,500 reports of anti-social behaviour.</w:t>
      </w:r>
    </w:p>
    <w:p w:rsidR="00DF2439" w:rsidRPr="00AB1652" w:rsidRDefault="00DF2439" w:rsidP="00DF2439">
      <w:pPr>
        <w:pStyle w:val="ListParagraph"/>
        <w:ind w:left="1134" w:hanging="436"/>
        <w:rPr>
          <w:sz w:val="20"/>
        </w:rPr>
      </w:pPr>
    </w:p>
    <w:p w:rsidR="00DF2439" w:rsidRPr="00AB1652" w:rsidRDefault="00DF2439" w:rsidP="00DF2439">
      <w:pPr>
        <w:pStyle w:val="ListParagraph"/>
        <w:numPr>
          <w:ilvl w:val="0"/>
          <w:numId w:val="14"/>
        </w:numPr>
        <w:ind w:left="1134" w:hanging="436"/>
        <w:contextualSpacing/>
        <w:jc w:val="both"/>
        <w:rPr>
          <w:sz w:val="20"/>
        </w:rPr>
      </w:pPr>
      <w:r>
        <w:rPr>
          <w:sz w:val="20"/>
        </w:rPr>
        <w:t>put out over 210,000</w:t>
      </w:r>
      <w:r w:rsidRPr="00AB1652">
        <w:rPr>
          <w:sz w:val="20"/>
        </w:rPr>
        <w:t xml:space="preserve"> Council Tax bills and reminders</w:t>
      </w:r>
      <w:r>
        <w:rPr>
          <w:sz w:val="20"/>
        </w:rPr>
        <w:t xml:space="preserve"> - add</w:t>
      </w:r>
      <w:r w:rsidRPr="00AB1652">
        <w:rPr>
          <w:sz w:val="20"/>
        </w:rPr>
        <w:t>ing benefit notifications and other letters take</w:t>
      </w:r>
      <w:r>
        <w:rPr>
          <w:sz w:val="20"/>
        </w:rPr>
        <w:t>s</w:t>
      </w:r>
      <w:r w:rsidRPr="00AB1652">
        <w:rPr>
          <w:sz w:val="20"/>
        </w:rPr>
        <w:t xml:space="preserve"> the total of Revenue transactions to over </w:t>
      </w:r>
      <w:r>
        <w:rPr>
          <w:sz w:val="20"/>
        </w:rPr>
        <w:t>350</w:t>
      </w:r>
      <w:r w:rsidRPr="00AB1652">
        <w:rPr>
          <w:sz w:val="20"/>
        </w:rPr>
        <w:t>,000.</w:t>
      </w:r>
    </w:p>
    <w:p w:rsidR="00DF2439" w:rsidRPr="00AB1652" w:rsidRDefault="00DF2439" w:rsidP="00DF2439">
      <w:pPr>
        <w:pStyle w:val="ListParagraph"/>
        <w:ind w:left="1134" w:hanging="436"/>
        <w:rPr>
          <w:sz w:val="20"/>
        </w:rPr>
      </w:pPr>
    </w:p>
    <w:p w:rsidR="00DF2439" w:rsidRPr="00AB1652" w:rsidRDefault="00DF2439" w:rsidP="00DF2439">
      <w:pPr>
        <w:pStyle w:val="ListParagraph"/>
        <w:numPr>
          <w:ilvl w:val="0"/>
          <w:numId w:val="14"/>
        </w:numPr>
        <w:ind w:left="1134" w:hanging="436"/>
        <w:contextualSpacing/>
        <w:jc w:val="both"/>
        <w:rPr>
          <w:sz w:val="20"/>
        </w:rPr>
      </w:pPr>
      <w:r>
        <w:rPr>
          <w:sz w:val="20"/>
        </w:rPr>
        <w:t>educate over 18</w:t>
      </w:r>
      <w:r w:rsidRPr="00AB1652">
        <w:rPr>
          <w:sz w:val="20"/>
        </w:rPr>
        <w:t xml:space="preserve">,000 pupils (over 3.2 million ‘pupil days’) and process </w:t>
      </w:r>
      <w:r>
        <w:rPr>
          <w:sz w:val="20"/>
        </w:rPr>
        <w:t>around 1,7</w:t>
      </w:r>
      <w:r w:rsidRPr="00AB1652">
        <w:rPr>
          <w:sz w:val="20"/>
        </w:rPr>
        <w:t>00 placing requests.</w:t>
      </w:r>
    </w:p>
    <w:p w:rsidR="00DF2439" w:rsidRPr="00AB1652" w:rsidRDefault="00DF2439" w:rsidP="00DF2439">
      <w:pPr>
        <w:pStyle w:val="ListParagraph"/>
        <w:ind w:left="1134" w:hanging="436"/>
        <w:rPr>
          <w:sz w:val="20"/>
        </w:rPr>
      </w:pPr>
    </w:p>
    <w:p w:rsidR="00DF2439" w:rsidRPr="00AB1652" w:rsidRDefault="00DF2439" w:rsidP="00DF2439">
      <w:pPr>
        <w:pStyle w:val="ListParagraph"/>
        <w:numPr>
          <w:ilvl w:val="0"/>
          <w:numId w:val="14"/>
        </w:numPr>
        <w:ind w:left="1134" w:hanging="436"/>
        <w:contextualSpacing/>
        <w:jc w:val="both"/>
        <w:rPr>
          <w:sz w:val="20"/>
        </w:rPr>
      </w:pPr>
      <w:r w:rsidRPr="00AB1652">
        <w:rPr>
          <w:sz w:val="20"/>
        </w:rPr>
        <w:t xml:space="preserve">process </w:t>
      </w:r>
      <w:r>
        <w:rPr>
          <w:sz w:val="20"/>
        </w:rPr>
        <w:t>around 2,500</w:t>
      </w:r>
      <w:r w:rsidRPr="00AB1652">
        <w:rPr>
          <w:sz w:val="20"/>
        </w:rPr>
        <w:t xml:space="preserve"> applications </w:t>
      </w:r>
      <w:r>
        <w:rPr>
          <w:sz w:val="20"/>
        </w:rPr>
        <w:t>for various education benefits</w:t>
      </w:r>
      <w:r w:rsidRPr="00AB1652">
        <w:rPr>
          <w:sz w:val="20"/>
        </w:rPr>
        <w:t>.</w:t>
      </w:r>
    </w:p>
    <w:p w:rsidR="00DF2439" w:rsidRPr="00AB1652" w:rsidRDefault="00DF2439" w:rsidP="00DF2439">
      <w:pPr>
        <w:pStyle w:val="ListParagraph"/>
        <w:ind w:left="1134" w:hanging="436"/>
        <w:rPr>
          <w:sz w:val="20"/>
        </w:rPr>
      </w:pPr>
    </w:p>
    <w:p w:rsidR="00DF2439" w:rsidRPr="00AB1652" w:rsidRDefault="00DF2439" w:rsidP="00DF2439">
      <w:pPr>
        <w:pStyle w:val="ListParagraph"/>
        <w:numPr>
          <w:ilvl w:val="0"/>
          <w:numId w:val="14"/>
        </w:numPr>
        <w:ind w:left="1134" w:hanging="436"/>
        <w:contextualSpacing/>
        <w:jc w:val="both"/>
        <w:rPr>
          <w:sz w:val="20"/>
        </w:rPr>
      </w:pPr>
      <w:r w:rsidRPr="00AB1652">
        <w:rPr>
          <w:sz w:val="20"/>
        </w:rPr>
        <w:t xml:space="preserve">carry out </w:t>
      </w:r>
      <w:r w:rsidR="004052F1">
        <w:rPr>
          <w:sz w:val="20"/>
        </w:rPr>
        <w:t>over 1,100</w:t>
      </w:r>
      <w:r w:rsidRPr="00AB1652">
        <w:rPr>
          <w:sz w:val="20"/>
        </w:rPr>
        <w:t xml:space="preserve"> food inspection visits, </w:t>
      </w:r>
      <w:r w:rsidR="004052F1">
        <w:rPr>
          <w:sz w:val="20"/>
        </w:rPr>
        <w:t>around 4</w:t>
      </w:r>
      <w:r w:rsidRPr="00AB1652">
        <w:rPr>
          <w:sz w:val="20"/>
        </w:rPr>
        <w:t xml:space="preserve">00 occupational health and safety visits and </w:t>
      </w:r>
      <w:r w:rsidR="004052F1">
        <w:rPr>
          <w:sz w:val="20"/>
        </w:rPr>
        <w:t xml:space="preserve">around </w:t>
      </w:r>
      <w:r w:rsidRPr="00AB1652">
        <w:rPr>
          <w:sz w:val="20"/>
        </w:rPr>
        <w:t>7,000 pest control visits.</w:t>
      </w:r>
    </w:p>
    <w:p w:rsidR="00DF2439" w:rsidRPr="00AB1652" w:rsidRDefault="00DF2439" w:rsidP="00DF2439">
      <w:pPr>
        <w:pStyle w:val="ListParagraph"/>
        <w:ind w:left="1134" w:hanging="436"/>
        <w:rPr>
          <w:sz w:val="20"/>
        </w:rPr>
      </w:pPr>
    </w:p>
    <w:p w:rsidR="00DF2439" w:rsidRPr="00AB1652" w:rsidRDefault="00DF2439" w:rsidP="00DF2439">
      <w:pPr>
        <w:pStyle w:val="ListParagraph"/>
        <w:numPr>
          <w:ilvl w:val="0"/>
          <w:numId w:val="14"/>
        </w:numPr>
        <w:ind w:left="1134" w:hanging="436"/>
        <w:contextualSpacing/>
        <w:jc w:val="both"/>
        <w:rPr>
          <w:sz w:val="20"/>
        </w:rPr>
      </w:pPr>
      <w:r>
        <w:rPr>
          <w:sz w:val="20"/>
        </w:rPr>
        <w:t>service over 6 million different types of recycling and residual waste containers.</w:t>
      </w:r>
    </w:p>
    <w:p w:rsidR="00DF2439" w:rsidRPr="00AB1652" w:rsidRDefault="00DF2439" w:rsidP="00DF2439">
      <w:pPr>
        <w:pStyle w:val="ListParagraph"/>
        <w:ind w:left="1134" w:hanging="436"/>
        <w:rPr>
          <w:sz w:val="20"/>
        </w:rPr>
      </w:pPr>
    </w:p>
    <w:p w:rsidR="00DF2439" w:rsidRPr="00AB1652" w:rsidRDefault="00DF2439" w:rsidP="00DF2439">
      <w:pPr>
        <w:pStyle w:val="ListParagraph"/>
        <w:numPr>
          <w:ilvl w:val="0"/>
          <w:numId w:val="14"/>
        </w:numPr>
        <w:ind w:left="1134" w:hanging="436"/>
        <w:contextualSpacing/>
        <w:jc w:val="both"/>
        <w:rPr>
          <w:sz w:val="20"/>
        </w:rPr>
      </w:pPr>
      <w:r w:rsidRPr="00AB1652">
        <w:rPr>
          <w:sz w:val="20"/>
        </w:rPr>
        <w:t>provide home care to over 1,800 people and residential care to 1,</w:t>
      </w:r>
      <w:r>
        <w:rPr>
          <w:sz w:val="20"/>
        </w:rPr>
        <w:t>2</w:t>
      </w:r>
      <w:r w:rsidRPr="00AB1652">
        <w:rPr>
          <w:sz w:val="20"/>
        </w:rPr>
        <w:t>00 service users.</w:t>
      </w:r>
    </w:p>
    <w:p w:rsidR="00DF2439" w:rsidRPr="00AB1652" w:rsidRDefault="00DF2439" w:rsidP="00DF2439">
      <w:pPr>
        <w:pStyle w:val="ListParagraph"/>
        <w:ind w:left="1134" w:hanging="436"/>
        <w:rPr>
          <w:sz w:val="20"/>
        </w:rPr>
      </w:pPr>
    </w:p>
    <w:p w:rsidR="00DF2439" w:rsidRPr="00AB10D0" w:rsidRDefault="00DF2439" w:rsidP="00DF2439">
      <w:pPr>
        <w:pStyle w:val="ListParagraph"/>
        <w:numPr>
          <w:ilvl w:val="0"/>
          <w:numId w:val="14"/>
        </w:numPr>
        <w:ind w:left="1134" w:hanging="436"/>
        <w:contextualSpacing/>
        <w:jc w:val="both"/>
        <w:rPr>
          <w:sz w:val="20"/>
        </w:rPr>
      </w:pPr>
      <w:r w:rsidRPr="00AB10D0">
        <w:rPr>
          <w:sz w:val="20"/>
        </w:rPr>
        <w:t>receive almost 1,600 requests under Freedom of Information Legislation and Environmental Information Regulations.</w:t>
      </w:r>
    </w:p>
    <w:p w:rsidR="00DF2439" w:rsidRPr="00721969" w:rsidRDefault="00DF2439" w:rsidP="00DF2439">
      <w:pPr>
        <w:pStyle w:val="ListParagraph"/>
        <w:ind w:left="1134" w:hanging="436"/>
        <w:rPr>
          <w:sz w:val="20"/>
          <w:highlight w:val="yellow"/>
        </w:rPr>
      </w:pPr>
    </w:p>
    <w:p w:rsidR="00DF2439" w:rsidRPr="00AB10D0" w:rsidRDefault="00DF2439" w:rsidP="00DF2439">
      <w:pPr>
        <w:pStyle w:val="ListParagraph"/>
        <w:numPr>
          <w:ilvl w:val="0"/>
          <w:numId w:val="14"/>
        </w:numPr>
        <w:ind w:left="1134" w:hanging="436"/>
        <w:contextualSpacing/>
        <w:jc w:val="both"/>
        <w:rPr>
          <w:sz w:val="20"/>
        </w:rPr>
      </w:pPr>
      <w:r w:rsidRPr="00AB10D0">
        <w:rPr>
          <w:sz w:val="20"/>
        </w:rPr>
        <w:t>register around 4,000 births and deaths and conduct around 600 weddings.</w:t>
      </w:r>
    </w:p>
    <w:p w:rsidR="00D81DFD" w:rsidRDefault="00D81DFD">
      <w:pPr>
        <w:rPr>
          <w:sz w:val="20"/>
          <w:highlight w:val="yellow"/>
        </w:rPr>
      </w:pPr>
      <w:r>
        <w:rPr>
          <w:sz w:val="20"/>
          <w:highlight w:val="yellow"/>
        </w:rPr>
        <w:br w:type="page"/>
      </w:r>
    </w:p>
    <w:p w:rsidR="00DF2439" w:rsidRPr="008022ED" w:rsidRDefault="00DF2439" w:rsidP="00DF2439">
      <w:pPr>
        <w:pStyle w:val="ListParagraph"/>
        <w:numPr>
          <w:ilvl w:val="0"/>
          <w:numId w:val="14"/>
        </w:numPr>
        <w:ind w:left="1134" w:hanging="436"/>
        <w:contextualSpacing/>
        <w:jc w:val="both"/>
        <w:rPr>
          <w:sz w:val="20"/>
        </w:rPr>
      </w:pPr>
      <w:r w:rsidRPr="008022ED">
        <w:rPr>
          <w:sz w:val="20"/>
        </w:rPr>
        <w:lastRenderedPageBreak/>
        <w:t>receive over 120,000 service requests on our website (job applications, requests for wheelie bins, book renewals etc).</w:t>
      </w:r>
    </w:p>
    <w:p w:rsidR="00DF2439" w:rsidRPr="00721969" w:rsidRDefault="00DF2439" w:rsidP="00DF2439">
      <w:pPr>
        <w:pStyle w:val="ListParagraph"/>
        <w:ind w:left="1134" w:hanging="436"/>
        <w:rPr>
          <w:sz w:val="20"/>
          <w:highlight w:val="yellow"/>
        </w:rPr>
      </w:pPr>
    </w:p>
    <w:p w:rsidR="00DF2439" w:rsidRPr="009D6271" w:rsidRDefault="00DF2439" w:rsidP="00DF2439">
      <w:pPr>
        <w:pStyle w:val="ListParagraph"/>
        <w:numPr>
          <w:ilvl w:val="0"/>
          <w:numId w:val="14"/>
        </w:numPr>
        <w:ind w:left="1134" w:hanging="436"/>
        <w:contextualSpacing/>
        <w:jc w:val="both"/>
        <w:rPr>
          <w:rFonts w:cs="Arial"/>
          <w:sz w:val="20"/>
        </w:rPr>
      </w:pPr>
      <w:r w:rsidRPr="009D6271">
        <w:rPr>
          <w:sz w:val="20"/>
        </w:rPr>
        <w:t xml:space="preserve">process </w:t>
      </w:r>
      <w:r w:rsidR="00A156E5">
        <w:rPr>
          <w:sz w:val="20"/>
        </w:rPr>
        <w:t xml:space="preserve">over 200,000 </w:t>
      </w:r>
      <w:r w:rsidR="0069414B">
        <w:rPr>
          <w:sz w:val="20"/>
        </w:rPr>
        <w:t xml:space="preserve">online </w:t>
      </w:r>
      <w:r w:rsidRPr="009D6271">
        <w:rPr>
          <w:sz w:val="20"/>
        </w:rPr>
        <w:t xml:space="preserve">payments </w:t>
      </w:r>
      <w:r w:rsidR="00A156E5">
        <w:rPr>
          <w:sz w:val="20"/>
        </w:rPr>
        <w:t xml:space="preserve">through our website </w:t>
      </w:r>
      <w:r w:rsidRPr="009D6271">
        <w:rPr>
          <w:sz w:val="20"/>
        </w:rPr>
        <w:t>valued at around £150 million.</w:t>
      </w:r>
    </w:p>
    <w:p w:rsidR="002E6EA1" w:rsidRDefault="002E6EA1" w:rsidP="002E6EA1">
      <w:pPr>
        <w:ind w:left="698"/>
        <w:rPr>
          <w:rFonts w:cs="Arial"/>
          <w:sz w:val="20"/>
          <w:highlight w:val="yellow"/>
        </w:rPr>
      </w:pPr>
    </w:p>
    <w:p w:rsidR="00DF2439" w:rsidRPr="00AB10D0" w:rsidRDefault="00DF2439" w:rsidP="00DF2439">
      <w:pPr>
        <w:pStyle w:val="ListParagraph"/>
        <w:numPr>
          <w:ilvl w:val="0"/>
          <w:numId w:val="14"/>
        </w:numPr>
        <w:ind w:left="1134" w:hanging="436"/>
        <w:contextualSpacing/>
        <w:jc w:val="both"/>
        <w:rPr>
          <w:rFonts w:cs="Arial"/>
          <w:sz w:val="20"/>
        </w:rPr>
      </w:pPr>
      <w:r w:rsidRPr="00AB10D0">
        <w:rPr>
          <w:rFonts w:cs="Arial"/>
          <w:sz w:val="20"/>
        </w:rPr>
        <w:t xml:space="preserve">process </w:t>
      </w:r>
      <w:r w:rsidR="006161DA">
        <w:rPr>
          <w:rFonts w:cs="Arial"/>
          <w:sz w:val="20"/>
        </w:rPr>
        <w:t xml:space="preserve">over </w:t>
      </w:r>
      <w:r w:rsidRPr="00AB10D0">
        <w:rPr>
          <w:rFonts w:cs="Arial"/>
          <w:sz w:val="20"/>
        </w:rPr>
        <w:t>1,</w:t>
      </w:r>
      <w:r w:rsidR="006161DA">
        <w:rPr>
          <w:rFonts w:cs="Arial"/>
          <w:sz w:val="20"/>
        </w:rPr>
        <w:t>0</w:t>
      </w:r>
      <w:r w:rsidRPr="00AB10D0">
        <w:rPr>
          <w:rFonts w:cs="Arial"/>
          <w:sz w:val="20"/>
        </w:rPr>
        <w:t xml:space="preserve">00 Building Warrant applications and </w:t>
      </w:r>
      <w:r w:rsidR="006161DA">
        <w:rPr>
          <w:rFonts w:cs="Arial"/>
          <w:sz w:val="20"/>
        </w:rPr>
        <w:t>almost 1,00</w:t>
      </w:r>
      <w:r w:rsidRPr="00AB10D0">
        <w:rPr>
          <w:rFonts w:cs="Arial"/>
          <w:sz w:val="20"/>
        </w:rPr>
        <w:t>0 planning applications, and investigate around 1</w:t>
      </w:r>
      <w:r w:rsidR="006161DA">
        <w:rPr>
          <w:rFonts w:cs="Arial"/>
          <w:sz w:val="20"/>
        </w:rPr>
        <w:t>3</w:t>
      </w:r>
      <w:r w:rsidRPr="00AB10D0">
        <w:rPr>
          <w:rFonts w:cs="Arial"/>
          <w:sz w:val="20"/>
        </w:rPr>
        <w:t>0 planning enforcement complaints.</w:t>
      </w:r>
    </w:p>
    <w:p w:rsidR="00DF2439" w:rsidRPr="00721969" w:rsidRDefault="00DF2439" w:rsidP="00DF2439">
      <w:pPr>
        <w:pStyle w:val="ListParagraph"/>
        <w:ind w:left="1134" w:hanging="436"/>
        <w:rPr>
          <w:rFonts w:cs="Arial"/>
          <w:sz w:val="20"/>
          <w:highlight w:val="yellow"/>
        </w:rPr>
      </w:pPr>
    </w:p>
    <w:p w:rsidR="00DF2439" w:rsidRDefault="00DF2439" w:rsidP="00DF2439">
      <w:pPr>
        <w:pStyle w:val="ListParagraph"/>
        <w:numPr>
          <w:ilvl w:val="0"/>
          <w:numId w:val="14"/>
        </w:numPr>
        <w:ind w:left="1134" w:hanging="436"/>
        <w:contextualSpacing/>
        <w:jc w:val="both"/>
        <w:rPr>
          <w:rFonts w:cs="Arial"/>
          <w:sz w:val="20"/>
        </w:rPr>
      </w:pPr>
      <w:r w:rsidRPr="00861B30">
        <w:rPr>
          <w:rFonts w:cs="Arial"/>
          <w:sz w:val="20"/>
        </w:rPr>
        <w:t>maintain over 500 Km of roads and almost a million Km of footpaths, and travel about 30,000 Km treating priority roads in the winter.</w:t>
      </w:r>
    </w:p>
    <w:p w:rsidR="00425756" w:rsidRDefault="00425756" w:rsidP="00425756">
      <w:pPr>
        <w:ind w:left="698"/>
        <w:contextualSpacing/>
        <w:jc w:val="both"/>
        <w:rPr>
          <w:rFonts w:cs="Arial"/>
          <w:sz w:val="20"/>
        </w:rPr>
      </w:pPr>
    </w:p>
    <w:p w:rsidR="00425756" w:rsidRPr="00425756" w:rsidRDefault="00425756" w:rsidP="00EF0F9E">
      <w:pPr>
        <w:pStyle w:val="ListParagraph"/>
        <w:numPr>
          <w:ilvl w:val="0"/>
          <w:numId w:val="14"/>
        </w:numPr>
        <w:ind w:left="1134" w:hanging="436"/>
        <w:contextualSpacing/>
        <w:jc w:val="both"/>
        <w:rPr>
          <w:rFonts w:cs="Arial"/>
          <w:sz w:val="20"/>
        </w:rPr>
      </w:pPr>
      <w:r>
        <w:rPr>
          <w:rFonts w:cs="Arial"/>
          <w:sz w:val="20"/>
        </w:rPr>
        <w:t>provide free school transport to over 1,000 pupils, making 400,000 trips per school year.</w:t>
      </w:r>
    </w:p>
    <w:p w:rsidR="00DF2439" w:rsidRPr="00AB1652" w:rsidRDefault="00DF2439" w:rsidP="00DF2439">
      <w:pPr>
        <w:pStyle w:val="ListParagraph"/>
        <w:ind w:left="1134" w:hanging="436"/>
        <w:rPr>
          <w:rFonts w:cs="Arial"/>
          <w:sz w:val="20"/>
        </w:rPr>
      </w:pPr>
    </w:p>
    <w:p w:rsidR="00DF2439" w:rsidRPr="00AB1652" w:rsidRDefault="00DF2439" w:rsidP="00DF2439">
      <w:pPr>
        <w:pStyle w:val="ListParagraph"/>
        <w:numPr>
          <w:ilvl w:val="0"/>
          <w:numId w:val="14"/>
        </w:numPr>
        <w:ind w:left="1134" w:hanging="436"/>
        <w:contextualSpacing/>
        <w:jc w:val="both"/>
        <w:rPr>
          <w:rFonts w:cs="Arial"/>
          <w:sz w:val="20"/>
        </w:rPr>
      </w:pPr>
      <w:r w:rsidRPr="00AB1652">
        <w:rPr>
          <w:rFonts w:cs="Arial"/>
          <w:sz w:val="20"/>
        </w:rPr>
        <w:t>process over 1</w:t>
      </w:r>
      <w:r>
        <w:rPr>
          <w:rFonts w:cs="Arial"/>
          <w:sz w:val="20"/>
        </w:rPr>
        <w:t>2</w:t>
      </w:r>
      <w:r w:rsidRPr="00AB1652">
        <w:rPr>
          <w:rFonts w:cs="Arial"/>
          <w:sz w:val="20"/>
        </w:rPr>
        <w:t>,000 recruitment applications via the Talentlink portal.</w:t>
      </w:r>
    </w:p>
    <w:p w:rsidR="00DF2439" w:rsidRDefault="00DF2439" w:rsidP="00DF2439">
      <w:pPr>
        <w:ind w:left="698"/>
        <w:rPr>
          <w:rFonts w:cs="Arial"/>
          <w:sz w:val="20"/>
        </w:rPr>
      </w:pPr>
    </w:p>
    <w:p w:rsidR="00DF2439" w:rsidRPr="00AB1652" w:rsidRDefault="00DF2439" w:rsidP="00DF2439">
      <w:pPr>
        <w:pStyle w:val="ListParagraph"/>
        <w:numPr>
          <w:ilvl w:val="0"/>
          <w:numId w:val="14"/>
        </w:numPr>
        <w:ind w:left="1134" w:hanging="414"/>
        <w:contextualSpacing/>
        <w:jc w:val="both"/>
        <w:rPr>
          <w:rFonts w:cs="Arial"/>
          <w:sz w:val="20"/>
        </w:rPr>
      </w:pPr>
      <w:r w:rsidRPr="00AB1652">
        <w:rPr>
          <w:rFonts w:cs="Arial"/>
          <w:sz w:val="20"/>
        </w:rPr>
        <w:t>deliver 3,700 adult learning opportunities and deliver a youth work programme to almost 3,500 young people.</w:t>
      </w:r>
    </w:p>
    <w:p w:rsidR="00DF2439" w:rsidRPr="00AB1652" w:rsidRDefault="00DF2439" w:rsidP="00DF2439">
      <w:pPr>
        <w:pStyle w:val="ListParagraph"/>
        <w:ind w:left="1134" w:hanging="414"/>
        <w:rPr>
          <w:rFonts w:cs="Arial"/>
          <w:sz w:val="20"/>
        </w:rPr>
      </w:pPr>
    </w:p>
    <w:p w:rsidR="00DF2439" w:rsidRPr="00AB1652" w:rsidRDefault="00DF2439" w:rsidP="00DF2439">
      <w:pPr>
        <w:pStyle w:val="ListParagraph"/>
        <w:numPr>
          <w:ilvl w:val="0"/>
          <w:numId w:val="14"/>
        </w:numPr>
        <w:ind w:left="1134" w:hanging="414"/>
        <w:contextualSpacing/>
        <w:jc w:val="both"/>
        <w:rPr>
          <w:rFonts w:cs="Arial"/>
          <w:sz w:val="20"/>
        </w:rPr>
      </w:pPr>
      <w:r>
        <w:rPr>
          <w:rFonts w:cs="Arial"/>
          <w:sz w:val="20"/>
        </w:rPr>
        <w:t>have over 29,000</w:t>
      </w:r>
      <w:r w:rsidRPr="00AB1652">
        <w:rPr>
          <w:rFonts w:cs="Arial"/>
          <w:sz w:val="20"/>
        </w:rPr>
        <w:t xml:space="preserve"> attendances at community centre activities by children aged 5-10.</w:t>
      </w:r>
    </w:p>
    <w:p w:rsidR="00DF2439" w:rsidRPr="00AB1652" w:rsidRDefault="00DF2439" w:rsidP="00DF2439">
      <w:pPr>
        <w:pStyle w:val="ListParagraph"/>
        <w:ind w:left="1134" w:hanging="414"/>
        <w:rPr>
          <w:rFonts w:cs="Arial"/>
          <w:sz w:val="20"/>
        </w:rPr>
      </w:pPr>
    </w:p>
    <w:p w:rsidR="00DF2439" w:rsidRPr="00AB1652" w:rsidRDefault="00DF2439" w:rsidP="00DF2439">
      <w:pPr>
        <w:pStyle w:val="ListParagraph"/>
        <w:numPr>
          <w:ilvl w:val="0"/>
          <w:numId w:val="14"/>
        </w:numPr>
        <w:ind w:left="1134" w:hanging="414"/>
        <w:contextualSpacing/>
        <w:jc w:val="both"/>
        <w:rPr>
          <w:rFonts w:cs="Arial"/>
          <w:sz w:val="20"/>
        </w:rPr>
      </w:pPr>
      <w:r w:rsidRPr="00AB1652">
        <w:rPr>
          <w:rFonts w:cs="Arial"/>
          <w:sz w:val="20"/>
        </w:rPr>
        <w:t>have 8,000 attendances at community events.</w:t>
      </w:r>
    </w:p>
    <w:p w:rsidR="00DF2439" w:rsidRPr="00AB1652" w:rsidRDefault="00DF2439" w:rsidP="00DF2439">
      <w:pPr>
        <w:pStyle w:val="ListParagraph"/>
        <w:rPr>
          <w:rFonts w:cs="Arial"/>
          <w:sz w:val="20"/>
        </w:rPr>
      </w:pPr>
    </w:p>
    <w:p w:rsidR="002C5F18" w:rsidRPr="00AB1652" w:rsidRDefault="00BB2C93" w:rsidP="00BD6F79">
      <w:pPr>
        <w:ind w:left="720" w:hanging="720"/>
        <w:jc w:val="both"/>
        <w:rPr>
          <w:rFonts w:cs="Arial"/>
          <w:sz w:val="20"/>
        </w:rPr>
      </w:pPr>
      <w:r w:rsidRPr="00AB1652">
        <w:rPr>
          <w:rFonts w:cs="Arial"/>
          <w:sz w:val="20"/>
        </w:rPr>
        <w:t>5.3</w:t>
      </w:r>
      <w:r w:rsidR="005B0E6C" w:rsidRPr="00AB1652">
        <w:rPr>
          <w:rFonts w:cs="Arial"/>
          <w:sz w:val="20"/>
        </w:rPr>
        <w:tab/>
        <w:t>Key</w:t>
      </w:r>
      <w:r w:rsidR="00C55035" w:rsidRPr="00AB1652">
        <w:rPr>
          <w:rFonts w:cs="Arial"/>
          <w:sz w:val="20"/>
        </w:rPr>
        <w:t xml:space="preserve"> quarterly</w:t>
      </w:r>
      <w:r w:rsidR="005B0E6C" w:rsidRPr="00AB1652">
        <w:rPr>
          <w:rFonts w:cs="Arial"/>
          <w:sz w:val="20"/>
        </w:rPr>
        <w:t xml:space="preserve"> trends from the analysis of performance indicators are shown </w:t>
      </w:r>
      <w:r w:rsidRPr="00AB1652">
        <w:rPr>
          <w:rFonts w:cs="Arial"/>
          <w:sz w:val="20"/>
        </w:rPr>
        <w:t>in the charts in Appendix Two.</w:t>
      </w:r>
      <w:r w:rsidR="007A12C4">
        <w:rPr>
          <w:rFonts w:cs="Arial"/>
          <w:sz w:val="20"/>
        </w:rPr>
        <w:t xml:space="preserve">  Note that the figures for each quarter will not necessarily add up to the annual totals reported </w:t>
      </w:r>
      <w:r w:rsidR="00F80B02">
        <w:rPr>
          <w:rFonts w:cs="Arial"/>
          <w:sz w:val="20"/>
        </w:rPr>
        <w:t>-</w:t>
      </w:r>
      <w:r w:rsidR="007A12C4">
        <w:rPr>
          <w:rFonts w:cs="Arial"/>
          <w:sz w:val="20"/>
        </w:rPr>
        <w:t xml:space="preserve"> complaints are only counted once although their status may cha</w:t>
      </w:r>
      <w:r w:rsidR="00F80B02">
        <w:rPr>
          <w:rFonts w:cs="Arial"/>
          <w:sz w:val="20"/>
        </w:rPr>
        <w:t>n</w:t>
      </w:r>
      <w:r w:rsidR="007A12C4">
        <w:rPr>
          <w:rFonts w:cs="Arial"/>
          <w:sz w:val="20"/>
        </w:rPr>
        <w:t>ge during the year e</w:t>
      </w:r>
      <w:r w:rsidR="00F80B02">
        <w:rPr>
          <w:rFonts w:cs="Arial"/>
          <w:sz w:val="20"/>
        </w:rPr>
        <w:t>g</w:t>
      </w:r>
      <w:r w:rsidR="007A12C4">
        <w:rPr>
          <w:rFonts w:cs="Arial"/>
          <w:sz w:val="20"/>
        </w:rPr>
        <w:t xml:space="preserve"> a complaint may be counted as a stage 1 in one quarter but be counted as a stage 2 in a subsequent quarter</w:t>
      </w:r>
      <w:r w:rsidR="009D6271">
        <w:rPr>
          <w:rFonts w:cs="Arial"/>
          <w:sz w:val="20"/>
        </w:rPr>
        <w:t>,</w:t>
      </w:r>
      <w:r w:rsidR="007A12C4">
        <w:rPr>
          <w:rFonts w:cs="Arial"/>
          <w:sz w:val="20"/>
        </w:rPr>
        <w:t xml:space="preserve"> and in the annual statistics</w:t>
      </w:r>
      <w:r w:rsidR="009D6271">
        <w:rPr>
          <w:rFonts w:cs="Arial"/>
          <w:sz w:val="20"/>
        </w:rPr>
        <w:t>,</w:t>
      </w:r>
      <w:r w:rsidR="007A12C4">
        <w:rPr>
          <w:rFonts w:cs="Arial"/>
          <w:sz w:val="20"/>
        </w:rPr>
        <w:t xml:space="preserve"> </w:t>
      </w:r>
      <w:r w:rsidR="00F80B02">
        <w:rPr>
          <w:rFonts w:cs="Arial"/>
          <w:sz w:val="20"/>
        </w:rPr>
        <w:t>if</w:t>
      </w:r>
      <w:r w:rsidR="007A12C4">
        <w:rPr>
          <w:rFonts w:cs="Arial"/>
          <w:sz w:val="20"/>
        </w:rPr>
        <w:t xml:space="preserve"> </w:t>
      </w:r>
      <w:r w:rsidR="00F80B02">
        <w:rPr>
          <w:rFonts w:cs="Arial"/>
          <w:sz w:val="20"/>
        </w:rPr>
        <w:t>it has been</w:t>
      </w:r>
      <w:r w:rsidR="007A12C4">
        <w:rPr>
          <w:rFonts w:cs="Arial"/>
          <w:sz w:val="20"/>
        </w:rPr>
        <w:t xml:space="preserve"> escalated.</w:t>
      </w:r>
      <w:r w:rsidR="009D6271">
        <w:rPr>
          <w:rFonts w:cs="Arial"/>
          <w:sz w:val="20"/>
        </w:rPr>
        <w:t xml:space="preserve">  This avoids double counting.</w:t>
      </w:r>
    </w:p>
    <w:p w:rsidR="00833E1B" w:rsidRDefault="00833E1B" w:rsidP="00BD6F79">
      <w:pPr>
        <w:ind w:left="720" w:hanging="720"/>
        <w:jc w:val="both"/>
        <w:rPr>
          <w:rFonts w:cs="Arial"/>
          <w:sz w:val="20"/>
        </w:rPr>
      </w:pPr>
    </w:p>
    <w:p w:rsidR="007827AF" w:rsidRPr="00AB1652" w:rsidRDefault="007827AF" w:rsidP="00BD6F79">
      <w:pPr>
        <w:ind w:left="720" w:hanging="720"/>
        <w:jc w:val="both"/>
        <w:rPr>
          <w:rFonts w:cs="Arial"/>
          <w:sz w:val="20"/>
        </w:rPr>
      </w:pPr>
    </w:p>
    <w:p w:rsidR="00540467" w:rsidRPr="00C411A7" w:rsidRDefault="00540467" w:rsidP="00540467">
      <w:pPr>
        <w:ind w:left="720" w:hanging="720"/>
        <w:jc w:val="both"/>
        <w:rPr>
          <w:rFonts w:cs="Arial"/>
          <w:b/>
          <w:sz w:val="20"/>
        </w:rPr>
      </w:pPr>
      <w:r w:rsidRPr="00C411A7">
        <w:rPr>
          <w:rFonts w:cs="Arial"/>
          <w:b/>
          <w:sz w:val="20"/>
        </w:rPr>
        <w:t>6.</w:t>
      </w:r>
      <w:r w:rsidRPr="00C411A7">
        <w:rPr>
          <w:rFonts w:cs="Arial"/>
          <w:b/>
          <w:sz w:val="20"/>
        </w:rPr>
        <w:tab/>
      </w:r>
      <w:r w:rsidR="007827AF" w:rsidRPr="00C411A7">
        <w:rPr>
          <w:rFonts w:cs="Arial"/>
          <w:b/>
          <w:sz w:val="20"/>
        </w:rPr>
        <w:t>LEARNING FROM COMPLAINTS</w:t>
      </w:r>
    </w:p>
    <w:p w:rsidR="00540467" w:rsidRPr="00AB1652" w:rsidRDefault="00540467" w:rsidP="00540467">
      <w:pPr>
        <w:ind w:left="720" w:hanging="720"/>
        <w:jc w:val="both"/>
        <w:rPr>
          <w:rFonts w:cs="Arial"/>
          <w:sz w:val="20"/>
        </w:rPr>
      </w:pPr>
    </w:p>
    <w:p w:rsidR="00540467" w:rsidRPr="00AB1652" w:rsidRDefault="00540467" w:rsidP="00540467">
      <w:pPr>
        <w:ind w:left="720" w:hanging="720"/>
        <w:jc w:val="both"/>
        <w:rPr>
          <w:rFonts w:cs="Arial"/>
          <w:sz w:val="20"/>
        </w:rPr>
      </w:pPr>
      <w:r w:rsidRPr="00AB1652">
        <w:rPr>
          <w:rFonts w:cs="Arial"/>
          <w:sz w:val="20"/>
        </w:rPr>
        <w:t>6.1</w:t>
      </w:r>
      <w:r w:rsidRPr="00AB1652">
        <w:rPr>
          <w:rFonts w:cs="Arial"/>
          <w:sz w:val="20"/>
        </w:rPr>
        <w:tab/>
        <w:t>A Complaints Review Group, made up of complaints administrat</w:t>
      </w:r>
      <w:r w:rsidR="00ED7D60" w:rsidRPr="00AB1652">
        <w:rPr>
          <w:rFonts w:cs="Arial"/>
          <w:sz w:val="20"/>
        </w:rPr>
        <w:t>ors from a number of services</w:t>
      </w:r>
      <w:r w:rsidRPr="00AB1652">
        <w:rPr>
          <w:rFonts w:cs="Arial"/>
          <w:sz w:val="20"/>
        </w:rPr>
        <w:t xml:space="preserve"> and officers with a remit for performance and improvement from </w:t>
      </w:r>
      <w:r w:rsidR="00ED7D60" w:rsidRPr="00AB1652">
        <w:rPr>
          <w:rFonts w:cs="Arial"/>
          <w:sz w:val="20"/>
        </w:rPr>
        <w:t>the Chief Executive’s service</w:t>
      </w:r>
      <w:r w:rsidRPr="00AB1652">
        <w:rPr>
          <w:rFonts w:cs="Arial"/>
          <w:sz w:val="20"/>
        </w:rPr>
        <w:t xml:space="preserve">, meets every quarter to review a sample of complaints and check if these were well recorded, investigated and responded to.  The group also looks at all ‘open’ complaints which are beyond the target date for response, and at the planned service improvements identified by officers when they close complaints as upheld or partially upheld.  A key aim is to identify any lessons learned from complaints which can be </w:t>
      </w:r>
      <w:r w:rsidR="007A12C4">
        <w:rPr>
          <w:rFonts w:cs="Arial"/>
          <w:sz w:val="20"/>
        </w:rPr>
        <w:t>used as intelligence, translating the insight gained from complaints into practical action which can help to prevent the same issues recurring</w:t>
      </w:r>
      <w:r w:rsidRPr="00AB1652">
        <w:rPr>
          <w:rFonts w:cs="Arial"/>
          <w:sz w:val="20"/>
        </w:rPr>
        <w:t>.</w:t>
      </w:r>
    </w:p>
    <w:p w:rsidR="00540467" w:rsidRPr="00AB1652" w:rsidRDefault="00540467" w:rsidP="00540467">
      <w:pPr>
        <w:ind w:left="720" w:hanging="720"/>
        <w:jc w:val="both"/>
        <w:rPr>
          <w:rFonts w:cs="Arial"/>
          <w:sz w:val="20"/>
        </w:rPr>
      </w:pPr>
    </w:p>
    <w:p w:rsidR="00540467" w:rsidRPr="00AB1652" w:rsidRDefault="00540467" w:rsidP="00540467">
      <w:pPr>
        <w:ind w:left="720" w:hanging="720"/>
        <w:jc w:val="both"/>
        <w:rPr>
          <w:rFonts w:cs="Arial"/>
          <w:sz w:val="20"/>
        </w:rPr>
      </w:pPr>
      <w:r w:rsidRPr="00AB1652">
        <w:rPr>
          <w:rFonts w:cs="Arial"/>
          <w:sz w:val="20"/>
        </w:rPr>
        <w:t>6.2</w:t>
      </w:r>
      <w:r w:rsidRPr="00AB1652">
        <w:rPr>
          <w:rFonts w:cs="Arial"/>
          <w:sz w:val="20"/>
        </w:rPr>
        <w:tab/>
        <w:t xml:space="preserve">The group continues to find evidence that complaints are generally being recorded, investigated and responded to well, along with evidence that complainants are being contacted to keep them informed of progress if complaints are taking longer than the target number of days to investigate.  </w:t>
      </w:r>
      <w:r w:rsidR="00B0157B">
        <w:rPr>
          <w:rFonts w:cs="Arial"/>
          <w:sz w:val="20"/>
        </w:rPr>
        <w:t>T</w:t>
      </w:r>
      <w:r w:rsidRPr="00AB1652">
        <w:rPr>
          <w:rFonts w:cs="Arial"/>
          <w:sz w:val="20"/>
        </w:rPr>
        <w:t>he group does still see some cases where targets have been missed, complainants have not been advised about escalating complaints if still dissatisfied and clearer explanations and apologies could have been given where complaints were upheld</w:t>
      </w:r>
      <w:r w:rsidR="00B0157B">
        <w:rPr>
          <w:rFonts w:cs="Arial"/>
          <w:sz w:val="20"/>
        </w:rPr>
        <w:t xml:space="preserve"> but these are discussed with complaints administrators and good practice is encouraged</w:t>
      </w:r>
      <w:r w:rsidRPr="00AB1652">
        <w:rPr>
          <w:rFonts w:cs="Arial"/>
          <w:sz w:val="20"/>
        </w:rPr>
        <w:t>. The importance of dealing with complaints quickly, keeping complainants informed and advising complainants what to do if still dissatisfied continues to be emphasised to staff through guidance on the intranet, reminder messages on the complaints sy</w:t>
      </w:r>
      <w:r w:rsidR="003D2E54" w:rsidRPr="00AB1652">
        <w:rPr>
          <w:rFonts w:cs="Arial"/>
          <w:sz w:val="20"/>
        </w:rPr>
        <w:t xml:space="preserve">stem, emails and </w:t>
      </w:r>
      <w:r w:rsidR="005F358C">
        <w:rPr>
          <w:rFonts w:cs="Arial"/>
          <w:sz w:val="20"/>
        </w:rPr>
        <w:t>a programme of training sessions</w:t>
      </w:r>
      <w:r w:rsidR="003D2E54" w:rsidRPr="00AB1652">
        <w:rPr>
          <w:rFonts w:cs="Arial"/>
          <w:sz w:val="20"/>
        </w:rPr>
        <w:t>.</w:t>
      </w:r>
    </w:p>
    <w:p w:rsidR="00D16461" w:rsidRPr="00AB1652" w:rsidRDefault="00D16461" w:rsidP="00540467">
      <w:pPr>
        <w:ind w:left="720" w:hanging="720"/>
        <w:jc w:val="both"/>
        <w:rPr>
          <w:rFonts w:cs="Arial"/>
          <w:sz w:val="20"/>
        </w:rPr>
      </w:pPr>
    </w:p>
    <w:p w:rsidR="00D16461" w:rsidRPr="00AB1652" w:rsidRDefault="00D16461" w:rsidP="00540467">
      <w:pPr>
        <w:ind w:left="720" w:hanging="720"/>
        <w:jc w:val="both"/>
        <w:rPr>
          <w:rFonts w:cs="Arial"/>
          <w:sz w:val="20"/>
        </w:rPr>
      </w:pPr>
      <w:r w:rsidRPr="00AB1652">
        <w:rPr>
          <w:rFonts w:cs="Arial"/>
          <w:sz w:val="20"/>
        </w:rPr>
        <w:t>6.3</w:t>
      </w:r>
      <w:r w:rsidRPr="00AB1652">
        <w:rPr>
          <w:rFonts w:cs="Arial"/>
          <w:sz w:val="20"/>
        </w:rPr>
        <w:tab/>
        <w:t>The Complaints Review Group has assess</w:t>
      </w:r>
      <w:r w:rsidR="005F358C">
        <w:rPr>
          <w:rFonts w:cs="Arial"/>
          <w:sz w:val="20"/>
        </w:rPr>
        <w:t>ed</w:t>
      </w:r>
      <w:r w:rsidRPr="00AB1652">
        <w:rPr>
          <w:rFonts w:cs="Arial"/>
          <w:sz w:val="20"/>
        </w:rPr>
        <w:t xml:space="preserve"> the effectiveness of the Council’s complaints handling arrangements using a Performance Assessment Tool developed by the Complaints Standards Authority with</w:t>
      </w:r>
      <w:r w:rsidR="00A14A50" w:rsidRPr="00AB1652">
        <w:rPr>
          <w:rFonts w:cs="Arial"/>
          <w:sz w:val="20"/>
        </w:rPr>
        <w:t>in the Ombudsman’s service.  This</w:t>
      </w:r>
      <w:r w:rsidRPr="00AB1652">
        <w:rPr>
          <w:rFonts w:cs="Arial"/>
          <w:sz w:val="20"/>
        </w:rPr>
        <w:t xml:space="preserve"> tool allows organisations to assess their performance in relation to six themes of good practice and to identify any areas requiring improvement action.  As a result of th</w:t>
      </w:r>
      <w:r w:rsidR="005E2853" w:rsidRPr="00AB1652">
        <w:rPr>
          <w:rFonts w:cs="Arial"/>
          <w:sz w:val="20"/>
        </w:rPr>
        <w:t>e initial assessment, the following priorities have been identified:</w:t>
      </w:r>
    </w:p>
    <w:p w:rsidR="005E2853" w:rsidRPr="00AB1652" w:rsidRDefault="005E2853" w:rsidP="00AD2E1A">
      <w:pPr>
        <w:ind w:left="1440" w:hanging="720"/>
        <w:jc w:val="both"/>
        <w:rPr>
          <w:rFonts w:cs="Arial"/>
          <w:sz w:val="20"/>
        </w:rPr>
      </w:pPr>
    </w:p>
    <w:p w:rsidR="005E2853" w:rsidRPr="00AB1652" w:rsidRDefault="005E2853" w:rsidP="005E2853">
      <w:pPr>
        <w:pStyle w:val="ListParagraph"/>
        <w:numPr>
          <w:ilvl w:val="0"/>
          <w:numId w:val="19"/>
        </w:numPr>
        <w:jc w:val="both"/>
        <w:rPr>
          <w:rFonts w:cs="Arial"/>
          <w:sz w:val="20"/>
        </w:rPr>
      </w:pPr>
      <w:r w:rsidRPr="00AB1652">
        <w:rPr>
          <w:rFonts w:cs="Arial"/>
          <w:sz w:val="20"/>
        </w:rPr>
        <w:t>repeat the training programme implemented when</w:t>
      </w:r>
      <w:r w:rsidR="00333A7B" w:rsidRPr="00AB1652">
        <w:rPr>
          <w:rFonts w:cs="Arial"/>
          <w:sz w:val="20"/>
        </w:rPr>
        <w:t xml:space="preserve"> the model Complaints Handling P</w:t>
      </w:r>
      <w:r w:rsidRPr="00AB1652">
        <w:rPr>
          <w:rFonts w:cs="Arial"/>
          <w:sz w:val="20"/>
        </w:rPr>
        <w:t>rocedure was introduced, and ensure that training continues to be refreshed on a 3-year cycle</w:t>
      </w:r>
      <w:r w:rsidR="003D2E54" w:rsidRPr="00AB1652">
        <w:rPr>
          <w:rFonts w:cs="Arial"/>
          <w:sz w:val="20"/>
        </w:rPr>
        <w:t>.</w:t>
      </w:r>
    </w:p>
    <w:p w:rsidR="002E6EA1" w:rsidRDefault="002E6EA1">
      <w:pPr>
        <w:rPr>
          <w:rFonts w:cs="Arial"/>
          <w:sz w:val="20"/>
        </w:rPr>
      </w:pPr>
      <w:r>
        <w:rPr>
          <w:rFonts w:cs="Arial"/>
          <w:sz w:val="20"/>
        </w:rPr>
        <w:br w:type="page"/>
      </w:r>
    </w:p>
    <w:p w:rsidR="00A14A50" w:rsidRPr="00AB1652" w:rsidRDefault="00A14A50" w:rsidP="005E2853">
      <w:pPr>
        <w:pStyle w:val="ListParagraph"/>
        <w:numPr>
          <w:ilvl w:val="0"/>
          <w:numId w:val="19"/>
        </w:numPr>
        <w:jc w:val="both"/>
        <w:rPr>
          <w:rFonts w:cs="Arial"/>
          <w:sz w:val="20"/>
        </w:rPr>
      </w:pPr>
      <w:r w:rsidRPr="00AB1652">
        <w:rPr>
          <w:rFonts w:cs="Arial"/>
          <w:sz w:val="20"/>
        </w:rPr>
        <w:lastRenderedPageBreak/>
        <w:t>ensure that dealing with complaints is among the competencies considered in Employee Performance and Development Reviews for re</w:t>
      </w:r>
      <w:r w:rsidR="003D2E54" w:rsidRPr="00AB1652">
        <w:rPr>
          <w:rFonts w:cs="Arial"/>
          <w:sz w:val="20"/>
        </w:rPr>
        <w:t>levant staff.</w:t>
      </w:r>
    </w:p>
    <w:p w:rsidR="002E6EA1" w:rsidRDefault="002E6EA1" w:rsidP="002E6EA1">
      <w:pPr>
        <w:ind w:left="720"/>
        <w:rPr>
          <w:rFonts w:cs="Arial"/>
          <w:sz w:val="20"/>
        </w:rPr>
      </w:pPr>
    </w:p>
    <w:p w:rsidR="005E2853" w:rsidRDefault="005E2853" w:rsidP="00541E16">
      <w:pPr>
        <w:pStyle w:val="ListParagraph"/>
        <w:numPr>
          <w:ilvl w:val="0"/>
          <w:numId w:val="19"/>
        </w:numPr>
        <w:jc w:val="both"/>
        <w:rPr>
          <w:rFonts w:cs="Arial"/>
          <w:sz w:val="20"/>
        </w:rPr>
      </w:pPr>
      <w:r w:rsidRPr="00B0157B">
        <w:rPr>
          <w:rFonts w:cs="Arial"/>
          <w:sz w:val="20"/>
        </w:rPr>
        <w:t>make further efforts to establish the ‘root cause’ of complaints and ensur</w:t>
      </w:r>
      <w:r w:rsidR="00A14A50" w:rsidRPr="00B0157B">
        <w:rPr>
          <w:rFonts w:cs="Arial"/>
          <w:sz w:val="20"/>
        </w:rPr>
        <w:t xml:space="preserve">e that any improvements made in response to individual complaints </w:t>
      </w:r>
      <w:r w:rsidRPr="00B0157B">
        <w:rPr>
          <w:rFonts w:cs="Arial"/>
          <w:sz w:val="20"/>
        </w:rPr>
        <w:t xml:space="preserve">are communicated across the service and </w:t>
      </w:r>
      <w:r w:rsidR="00A14A50" w:rsidRPr="00B0157B">
        <w:rPr>
          <w:rFonts w:cs="Arial"/>
          <w:sz w:val="20"/>
        </w:rPr>
        <w:t xml:space="preserve">the </w:t>
      </w:r>
      <w:r w:rsidRPr="00B0157B">
        <w:rPr>
          <w:rFonts w:cs="Arial"/>
          <w:sz w:val="20"/>
        </w:rPr>
        <w:t>Council</w:t>
      </w:r>
      <w:r w:rsidR="00A14A50" w:rsidRPr="00B0157B">
        <w:rPr>
          <w:rFonts w:cs="Arial"/>
          <w:sz w:val="20"/>
        </w:rPr>
        <w:t>.  In particular, the Performance Assessment Tool highlights the importance of identifying key themes from complaints and being able to demonstrate improvement actions as a result.</w:t>
      </w:r>
    </w:p>
    <w:p w:rsidR="00B0157B" w:rsidRPr="00B0157B" w:rsidRDefault="00B0157B" w:rsidP="00AA6C80">
      <w:pPr>
        <w:pStyle w:val="ListParagraph"/>
        <w:jc w:val="both"/>
        <w:rPr>
          <w:rFonts w:cs="Arial"/>
          <w:sz w:val="20"/>
        </w:rPr>
      </w:pPr>
    </w:p>
    <w:p w:rsidR="005E2853" w:rsidRPr="00AB1652" w:rsidRDefault="005E2853" w:rsidP="005E2853">
      <w:pPr>
        <w:pStyle w:val="ListParagraph"/>
        <w:numPr>
          <w:ilvl w:val="0"/>
          <w:numId w:val="19"/>
        </w:numPr>
        <w:jc w:val="both"/>
        <w:rPr>
          <w:rFonts w:cs="Arial"/>
          <w:sz w:val="20"/>
        </w:rPr>
      </w:pPr>
      <w:r w:rsidRPr="00AB1652">
        <w:rPr>
          <w:rFonts w:cs="Arial"/>
          <w:sz w:val="20"/>
        </w:rPr>
        <w:t>make sure that independent advice agencies are aware of the Council’s procedures so can advise and assist complainants where required</w:t>
      </w:r>
      <w:r w:rsidR="003D2E54" w:rsidRPr="00AB1652">
        <w:rPr>
          <w:rFonts w:cs="Arial"/>
          <w:sz w:val="20"/>
        </w:rPr>
        <w:t>.</w:t>
      </w:r>
    </w:p>
    <w:p w:rsidR="005E2853" w:rsidRPr="00AB1652" w:rsidRDefault="005E2853" w:rsidP="005E2853">
      <w:pPr>
        <w:pStyle w:val="ListParagraph"/>
        <w:rPr>
          <w:rFonts w:cs="Arial"/>
          <w:sz w:val="20"/>
        </w:rPr>
      </w:pPr>
    </w:p>
    <w:p w:rsidR="005E2853" w:rsidRPr="00AB1652" w:rsidRDefault="005E2853" w:rsidP="005E2853">
      <w:pPr>
        <w:pStyle w:val="ListParagraph"/>
        <w:numPr>
          <w:ilvl w:val="0"/>
          <w:numId w:val="19"/>
        </w:numPr>
        <w:jc w:val="both"/>
        <w:rPr>
          <w:rFonts w:cs="Arial"/>
          <w:sz w:val="20"/>
        </w:rPr>
      </w:pPr>
      <w:r w:rsidRPr="00AB1652">
        <w:rPr>
          <w:rFonts w:cs="Arial"/>
          <w:sz w:val="20"/>
        </w:rPr>
        <w:t>ensure that reports such as this are cascaded to staff invo</w:t>
      </w:r>
      <w:r w:rsidR="003D2E54" w:rsidRPr="00AB1652">
        <w:rPr>
          <w:rFonts w:cs="Arial"/>
          <w:sz w:val="20"/>
        </w:rPr>
        <w:t>lved in dealing with complaints.</w:t>
      </w:r>
    </w:p>
    <w:p w:rsidR="007827AF" w:rsidRDefault="007827AF">
      <w:pPr>
        <w:rPr>
          <w:rFonts w:cs="Arial"/>
          <w:sz w:val="20"/>
        </w:rPr>
      </w:pPr>
    </w:p>
    <w:p w:rsidR="000D2A2D" w:rsidRDefault="000D2A2D" w:rsidP="00A156E5">
      <w:pPr>
        <w:ind w:left="720" w:hanging="720"/>
        <w:jc w:val="both"/>
        <w:rPr>
          <w:rFonts w:cs="Arial"/>
          <w:sz w:val="20"/>
        </w:rPr>
      </w:pPr>
      <w:r>
        <w:rPr>
          <w:rFonts w:cs="Arial"/>
          <w:sz w:val="20"/>
        </w:rPr>
        <w:t>6.4</w:t>
      </w:r>
      <w:r>
        <w:rPr>
          <w:rFonts w:cs="Arial"/>
          <w:sz w:val="20"/>
        </w:rPr>
        <w:tab/>
        <w:t xml:space="preserve">A programme of refresher training on complaints handling </w:t>
      </w:r>
      <w:r w:rsidR="00ED2A53">
        <w:rPr>
          <w:rFonts w:cs="Arial"/>
          <w:sz w:val="20"/>
        </w:rPr>
        <w:t>has been carried out</w:t>
      </w:r>
      <w:r>
        <w:rPr>
          <w:rFonts w:cs="Arial"/>
          <w:sz w:val="20"/>
        </w:rPr>
        <w:t xml:space="preserve">, with </w:t>
      </w:r>
      <w:r w:rsidR="00AF2F46">
        <w:rPr>
          <w:rFonts w:cs="Arial"/>
          <w:sz w:val="20"/>
        </w:rPr>
        <w:t xml:space="preserve">70 </w:t>
      </w:r>
      <w:r>
        <w:rPr>
          <w:rFonts w:cs="Arial"/>
          <w:sz w:val="20"/>
        </w:rPr>
        <w:t xml:space="preserve">officers who investigate complaints having attended sessions on our procedures, targets and good practice in investigating </w:t>
      </w:r>
      <w:r w:rsidR="00A156E5">
        <w:rPr>
          <w:rFonts w:cs="Arial"/>
          <w:sz w:val="20"/>
        </w:rPr>
        <w:t>and responding to complaints.  F</w:t>
      </w:r>
      <w:r>
        <w:rPr>
          <w:rFonts w:cs="Arial"/>
          <w:sz w:val="20"/>
        </w:rPr>
        <w:t>urther sessions are being planned.</w:t>
      </w:r>
    </w:p>
    <w:p w:rsidR="000D2A2D" w:rsidRDefault="000D2A2D">
      <w:pPr>
        <w:rPr>
          <w:rFonts w:cs="Arial"/>
          <w:sz w:val="20"/>
        </w:rPr>
      </w:pPr>
    </w:p>
    <w:p w:rsidR="00540467" w:rsidRPr="00AB1652" w:rsidRDefault="00D16461" w:rsidP="00540467">
      <w:pPr>
        <w:ind w:left="720" w:hanging="720"/>
        <w:jc w:val="both"/>
        <w:rPr>
          <w:rFonts w:cs="Arial"/>
          <w:sz w:val="20"/>
        </w:rPr>
      </w:pPr>
      <w:r w:rsidRPr="00AB1652">
        <w:rPr>
          <w:rFonts w:cs="Arial"/>
          <w:sz w:val="20"/>
        </w:rPr>
        <w:t>6.</w:t>
      </w:r>
      <w:r w:rsidR="000D2A2D">
        <w:rPr>
          <w:rFonts w:cs="Arial"/>
          <w:sz w:val="20"/>
        </w:rPr>
        <w:t>5</w:t>
      </w:r>
      <w:r w:rsidR="008D6BF2" w:rsidRPr="00AB1652">
        <w:rPr>
          <w:rFonts w:cs="Arial"/>
          <w:sz w:val="20"/>
        </w:rPr>
        <w:tab/>
        <w:t>Most</w:t>
      </w:r>
      <w:r w:rsidR="00540467" w:rsidRPr="00AB1652">
        <w:rPr>
          <w:rFonts w:cs="Arial"/>
          <w:sz w:val="20"/>
        </w:rPr>
        <w:t xml:space="preserve"> of the ‘planned service improvements’</w:t>
      </w:r>
      <w:r w:rsidR="008D6BF2" w:rsidRPr="00AB1652">
        <w:rPr>
          <w:rFonts w:cs="Arial"/>
          <w:sz w:val="20"/>
        </w:rPr>
        <w:t xml:space="preserve"> identified</w:t>
      </w:r>
      <w:r w:rsidR="00A14A50" w:rsidRPr="00AB1652">
        <w:rPr>
          <w:rFonts w:cs="Arial"/>
          <w:sz w:val="20"/>
        </w:rPr>
        <w:t xml:space="preserve"> as a result of complaints</w:t>
      </w:r>
      <w:r w:rsidR="00540467" w:rsidRPr="00AB1652">
        <w:rPr>
          <w:rFonts w:cs="Arial"/>
          <w:sz w:val="20"/>
        </w:rPr>
        <w:t xml:space="preserve"> </w:t>
      </w:r>
      <w:r w:rsidR="00B0157B">
        <w:rPr>
          <w:rFonts w:cs="Arial"/>
          <w:sz w:val="20"/>
        </w:rPr>
        <w:t>during</w:t>
      </w:r>
      <w:r w:rsidR="005F358C">
        <w:rPr>
          <w:rFonts w:cs="Arial"/>
          <w:sz w:val="20"/>
        </w:rPr>
        <w:t xml:space="preserve"> 201</w:t>
      </w:r>
      <w:r w:rsidR="00953655">
        <w:rPr>
          <w:rFonts w:cs="Arial"/>
          <w:sz w:val="20"/>
        </w:rPr>
        <w:t>8</w:t>
      </w:r>
      <w:r w:rsidR="005F358C">
        <w:rPr>
          <w:rFonts w:cs="Arial"/>
          <w:sz w:val="20"/>
        </w:rPr>
        <w:t>/201</w:t>
      </w:r>
      <w:r w:rsidR="00953655">
        <w:rPr>
          <w:rFonts w:cs="Arial"/>
          <w:sz w:val="20"/>
        </w:rPr>
        <w:t>9</w:t>
      </w:r>
      <w:r w:rsidR="00540467" w:rsidRPr="00AB1652">
        <w:rPr>
          <w:rFonts w:cs="Arial"/>
          <w:sz w:val="20"/>
        </w:rPr>
        <w:t xml:space="preserve"> involved speaking to individuals about errors or arranging training for teams to remind them of procedur</w:t>
      </w:r>
      <w:r w:rsidR="00A14A50" w:rsidRPr="00AB1652">
        <w:rPr>
          <w:rFonts w:cs="Arial"/>
          <w:sz w:val="20"/>
        </w:rPr>
        <w:t xml:space="preserve">es and customer care standards.  However, </w:t>
      </w:r>
      <w:r w:rsidR="00540467" w:rsidRPr="00AB1652">
        <w:rPr>
          <w:rFonts w:cs="Arial"/>
          <w:sz w:val="20"/>
        </w:rPr>
        <w:t xml:space="preserve">over the </w:t>
      </w:r>
      <w:r w:rsidR="00B0157B">
        <w:rPr>
          <w:rFonts w:cs="Arial"/>
          <w:sz w:val="20"/>
        </w:rPr>
        <w:t>year</w:t>
      </w:r>
      <w:r w:rsidR="00540467" w:rsidRPr="00AB1652">
        <w:rPr>
          <w:rFonts w:cs="Arial"/>
          <w:sz w:val="20"/>
        </w:rPr>
        <w:t xml:space="preserve"> there </w:t>
      </w:r>
      <w:r w:rsidR="00765337" w:rsidRPr="00AB1652">
        <w:rPr>
          <w:rFonts w:cs="Arial"/>
          <w:sz w:val="20"/>
        </w:rPr>
        <w:t xml:space="preserve">were </w:t>
      </w:r>
      <w:r w:rsidR="00540467" w:rsidRPr="00AB1652">
        <w:rPr>
          <w:rFonts w:cs="Arial"/>
          <w:sz w:val="20"/>
        </w:rPr>
        <w:t>also a number of service improvements i</w:t>
      </w:r>
      <w:r w:rsidR="001462FD" w:rsidRPr="00AB1652">
        <w:rPr>
          <w:rFonts w:cs="Arial"/>
          <w:sz w:val="20"/>
        </w:rPr>
        <w:t xml:space="preserve">dentified, </w:t>
      </w:r>
      <w:r w:rsidR="00A14A50" w:rsidRPr="00AB1652">
        <w:rPr>
          <w:rFonts w:cs="Arial"/>
          <w:sz w:val="20"/>
        </w:rPr>
        <w:t>for example</w:t>
      </w:r>
      <w:r w:rsidR="00540467" w:rsidRPr="00AB1652">
        <w:rPr>
          <w:rFonts w:cs="Arial"/>
          <w:sz w:val="20"/>
        </w:rPr>
        <w:t>:</w:t>
      </w:r>
    </w:p>
    <w:p w:rsidR="005E2853" w:rsidRPr="00AB1652" w:rsidRDefault="005E2853" w:rsidP="00AD2E1A">
      <w:pPr>
        <w:ind w:left="1440" w:hanging="720"/>
        <w:jc w:val="both"/>
        <w:rPr>
          <w:rFonts w:cs="Arial"/>
          <w:sz w:val="20"/>
        </w:rPr>
      </w:pPr>
    </w:p>
    <w:tbl>
      <w:tblPr>
        <w:tblStyle w:val="TableGrid"/>
        <w:tblW w:w="8550" w:type="dxa"/>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145"/>
      </w:tblGrid>
      <w:tr w:rsidR="005E2853" w:rsidRPr="009D6271" w:rsidTr="00A606AB">
        <w:trPr>
          <w:trHeight w:val="432"/>
        </w:trPr>
        <w:tc>
          <w:tcPr>
            <w:tcW w:w="4405" w:type="dxa"/>
            <w:tcBorders>
              <w:bottom w:val="single" w:sz="4" w:space="0" w:color="auto"/>
              <w:right w:val="single" w:sz="4" w:space="0" w:color="auto"/>
            </w:tcBorders>
            <w:vAlign w:val="center"/>
          </w:tcPr>
          <w:p w:rsidR="005E2853" w:rsidRPr="009D6271" w:rsidRDefault="005E2853" w:rsidP="00A156E5">
            <w:pPr>
              <w:rPr>
                <w:rFonts w:cs="Arial"/>
                <w:b/>
                <w:sz w:val="20"/>
              </w:rPr>
            </w:pPr>
            <w:r w:rsidRPr="009D6271">
              <w:rPr>
                <w:b/>
                <w:sz w:val="20"/>
              </w:rPr>
              <w:br w:type="page"/>
            </w:r>
            <w:r w:rsidR="00A156E5">
              <w:rPr>
                <w:rFonts w:cs="Arial"/>
                <w:b/>
                <w:sz w:val="20"/>
              </w:rPr>
              <w:t>The complaint was</w:t>
            </w:r>
            <w:r w:rsidR="00C40470" w:rsidRPr="009D6271">
              <w:rPr>
                <w:rFonts w:cs="Arial"/>
                <w:b/>
                <w:sz w:val="20"/>
              </w:rPr>
              <w:t xml:space="preserve"> ……</w:t>
            </w:r>
          </w:p>
        </w:tc>
        <w:tc>
          <w:tcPr>
            <w:tcW w:w="4145" w:type="dxa"/>
            <w:tcBorders>
              <w:left w:val="single" w:sz="4" w:space="0" w:color="auto"/>
              <w:bottom w:val="single" w:sz="4" w:space="0" w:color="auto"/>
            </w:tcBorders>
            <w:vAlign w:val="center"/>
          </w:tcPr>
          <w:p w:rsidR="005E2853" w:rsidRPr="009D6271" w:rsidRDefault="00C40470" w:rsidP="005E2853">
            <w:pPr>
              <w:pStyle w:val="ListParagraph"/>
              <w:ind w:left="0"/>
              <w:jc w:val="both"/>
              <w:rPr>
                <w:rFonts w:cs="Arial"/>
                <w:b/>
                <w:sz w:val="20"/>
              </w:rPr>
            </w:pPr>
            <w:r w:rsidRPr="009D6271">
              <w:rPr>
                <w:rFonts w:cs="Arial"/>
                <w:b/>
                <w:sz w:val="20"/>
              </w:rPr>
              <w:t>We listened, we acted ……</w:t>
            </w:r>
          </w:p>
        </w:tc>
      </w:tr>
      <w:tr w:rsidR="001462FD" w:rsidRPr="00AB1652" w:rsidTr="006718C2">
        <w:tc>
          <w:tcPr>
            <w:tcW w:w="4405" w:type="dxa"/>
            <w:tcBorders>
              <w:top w:val="single" w:sz="4" w:space="0" w:color="auto"/>
              <w:bottom w:val="single" w:sz="4" w:space="0" w:color="auto"/>
              <w:right w:val="single" w:sz="4" w:space="0" w:color="auto"/>
            </w:tcBorders>
          </w:tcPr>
          <w:p w:rsidR="001462FD" w:rsidRDefault="00A606AB" w:rsidP="00A156E5">
            <w:pPr>
              <w:ind w:left="23"/>
              <w:rPr>
                <w:rFonts w:cs="Arial"/>
                <w:sz w:val="20"/>
              </w:rPr>
            </w:pPr>
            <w:r>
              <w:rPr>
                <w:rFonts w:cs="Arial"/>
                <w:sz w:val="20"/>
              </w:rPr>
              <w:t>The notification letter about a rent increase showed the deduction for Housing Benefit but not the Discretionary Housing Payment.</w:t>
            </w:r>
          </w:p>
          <w:p w:rsidR="00953655" w:rsidRPr="00AB1652" w:rsidRDefault="00953655" w:rsidP="00A156E5">
            <w:pPr>
              <w:ind w:left="23"/>
              <w:rPr>
                <w:rFonts w:cs="Arial"/>
                <w:sz w:val="20"/>
              </w:rPr>
            </w:pPr>
          </w:p>
        </w:tc>
        <w:tc>
          <w:tcPr>
            <w:tcW w:w="4145" w:type="dxa"/>
            <w:tcBorders>
              <w:top w:val="single" w:sz="4" w:space="0" w:color="auto"/>
              <w:left w:val="single" w:sz="4" w:space="0" w:color="auto"/>
              <w:bottom w:val="single" w:sz="4" w:space="0" w:color="auto"/>
            </w:tcBorders>
          </w:tcPr>
          <w:p w:rsidR="009D6271" w:rsidRPr="00AB1652" w:rsidRDefault="00A606AB" w:rsidP="00A606AB">
            <w:pPr>
              <w:tabs>
                <w:tab w:val="left" w:pos="422"/>
              </w:tabs>
              <w:ind w:left="12" w:firstLine="23"/>
              <w:rPr>
                <w:rFonts w:cs="Arial"/>
                <w:sz w:val="20"/>
              </w:rPr>
            </w:pPr>
            <w:r>
              <w:rPr>
                <w:rFonts w:cs="Arial"/>
                <w:sz w:val="20"/>
              </w:rPr>
              <w:t>The letters telling tenants about changes to charges are to be reviewed to avoid confusion.</w:t>
            </w:r>
          </w:p>
        </w:tc>
      </w:tr>
      <w:tr w:rsidR="00B064C4" w:rsidRPr="00AB1652" w:rsidTr="006718C2">
        <w:tc>
          <w:tcPr>
            <w:tcW w:w="4405" w:type="dxa"/>
            <w:tcBorders>
              <w:top w:val="single" w:sz="4" w:space="0" w:color="auto"/>
              <w:bottom w:val="single" w:sz="4" w:space="0" w:color="auto"/>
              <w:right w:val="single" w:sz="4" w:space="0" w:color="auto"/>
            </w:tcBorders>
          </w:tcPr>
          <w:p w:rsidR="00953655" w:rsidRDefault="00A606AB" w:rsidP="00A606AB">
            <w:pPr>
              <w:rPr>
                <w:rFonts w:cs="Arial"/>
                <w:sz w:val="20"/>
              </w:rPr>
            </w:pPr>
            <w:r>
              <w:rPr>
                <w:rFonts w:cs="Arial"/>
                <w:sz w:val="20"/>
              </w:rPr>
              <w:t>There was a delay in response to enquiries sent to the Corporate Appointee mailbox.</w:t>
            </w:r>
          </w:p>
          <w:p w:rsidR="00A606AB" w:rsidRDefault="00A606AB" w:rsidP="00A606AB">
            <w:pPr>
              <w:rPr>
                <w:rFonts w:cs="Arial"/>
                <w:sz w:val="20"/>
              </w:rPr>
            </w:pPr>
          </w:p>
          <w:p w:rsidR="00A606AB" w:rsidRPr="00AB1652" w:rsidRDefault="00A606AB" w:rsidP="00A606AB">
            <w:pPr>
              <w:rPr>
                <w:rFonts w:cs="Arial"/>
                <w:sz w:val="20"/>
              </w:rPr>
            </w:pPr>
          </w:p>
        </w:tc>
        <w:tc>
          <w:tcPr>
            <w:tcW w:w="4145" w:type="dxa"/>
            <w:tcBorders>
              <w:top w:val="single" w:sz="4" w:space="0" w:color="auto"/>
              <w:left w:val="single" w:sz="4" w:space="0" w:color="auto"/>
              <w:bottom w:val="single" w:sz="4" w:space="0" w:color="auto"/>
            </w:tcBorders>
          </w:tcPr>
          <w:p w:rsidR="00A606AB" w:rsidRPr="00AB1652" w:rsidRDefault="00A606AB" w:rsidP="00A606AB">
            <w:pPr>
              <w:tabs>
                <w:tab w:val="left" w:pos="437"/>
              </w:tabs>
              <w:ind w:firstLine="23"/>
              <w:rPr>
                <w:rFonts w:cs="Arial"/>
                <w:sz w:val="20"/>
              </w:rPr>
            </w:pPr>
            <w:r>
              <w:rPr>
                <w:rFonts w:cs="Arial"/>
                <w:sz w:val="20"/>
              </w:rPr>
              <w:t>Email processes fully reviewed and a checking system in place to ensure action taken.</w:t>
            </w:r>
          </w:p>
        </w:tc>
      </w:tr>
      <w:tr w:rsidR="00B064C4" w:rsidRPr="00AB1652" w:rsidTr="006718C2">
        <w:tc>
          <w:tcPr>
            <w:tcW w:w="4405" w:type="dxa"/>
            <w:tcBorders>
              <w:top w:val="single" w:sz="4" w:space="0" w:color="auto"/>
              <w:bottom w:val="single" w:sz="4" w:space="0" w:color="auto"/>
              <w:right w:val="single" w:sz="4" w:space="0" w:color="auto"/>
            </w:tcBorders>
          </w:tcPr>
          <w:p w:rsidR="00C40470" w:rsidRDefault="00A606AB" w:rsidP="00A156E5">
            <w:pPr>
              <w:ind w:left="23"/>
              <w:rPr>
                <w:rFonts w:cs="Arial"/>
                <w:sz w:val="20"/>
              </w:rPr>
            </w:pPr>
            <w:r>
              <w:rPr>
                <w:rFonts w:cs="Arial"/>
                <w:sz w:val="20"/>
              </w:rPr>
              <w:t>They</w:t>
            </w:r>
            <w:r w:rsidR="006718C2">
              <w:rPr>
                <w:rFonts w:cs="Arial"/>
                <w:sz w:val="20"/>
              </w:rPr>
              <w:t xml:space="preserve"> were not notified of plans for roof replacement work.</w:t>
            </w:r>
          </w:p>
          <w:p w:rsidR="00953655" w:rsidRPr="00AB1652" w:rsidRDefault="00953655" w:rsidP="00A156E5">
            <w:pPr>
              <w:ind w:left="23"/>
              <w:rPr>
                <w:rFonts w:cs="Arial"/>
                <w:sz w:val="20"/>
              </w:rPr>
            </w:pPr>
          </w:p>
        </w:tc>
        <w:tc>
          <w:tcPr>
            <w:tcW w:w="4145" w:type="dxa"/>
            <w:tcBorders>
              <w:top w:val="single" w:sz="4" w:space="0" w:color="auto"/>
              <w:left w:val="single" w:sz="4" w:space="0" w:color="auto"/>
              <w:bottom w:val="single" w:sz="4" w:space="0" w:color="auto"/>
            </w:tcBorders>
          </w:tcPr>
          <w:p w:rsidR="00C40470" w:rsidRPr="00AB1652" w:rsidRDefault="006718C2" w:rsidP="009B6344">
            <w:pPr>
              <w:tabs>
                <w:tab w:val="left" w:pos="437"/>
              </w:tabs>
              <w:ind w:firstLine="23"/>
              <w:rPr>
                <w:rFonts w:cs="Arial"/>
                <w:sz w:val="20"/>
              </w:rPr>
            </w:pPr>
            <w:r>
              <w:rPr>
                <w:rFonts w:cs="Arial"/>
                <w:sz w:val="20"/>
              </w:rPr>
              <w:t>Ways of working revised to improve communication with residents.</w:t>
            </w:r>
          </w:p>
        </w:tc>
      </w:tr>
      <w:tr w:rsidR="00C16DCA" w:rsidRPr="00AB1652" w:rsidTr="006718C2">
        <w:tc>
          <w:tcPr>
            <w:tcW w:w="4405" w:type="dxa"/>
            <w:tcBorders>
              <w:top w:val="single" w:sz="4" w:space="0" w:color="auto"/>
              <w:bottom w:val="single" w:sz="4" w:space="0" w:color="auto"/>
              <w:right w:val="single" w:sz="4" w:space="0" w:color="auto"/>
            </w:tcBorders>
          </w:tcPr>
          <w:p w:rsidR="00C16DCA" w:rsidRDefault="006718C2" w:rsidP="00DC7C18">
            <w:pPr>
              <w:ind w:left="23"/>
              <w:rPr>
                <w:rFonts w:cs="Arial"/>
                <w:sz w:val="20"/>
              </w:rPr>
            </w:pPr>
            <w:r>
              <w:rPr>
                <w:rFonts w:cs="Arial"/>
                <w:sz w:val="20"/>
              </w:rPr>
              <w:t>Different action should have been taken when a child was injured at school.</w:t>
            </w:r>
          </w:p>
          <w:p w:rsidR="00953655" w:rsidRPr="00AB1652" w:rsidRDefault="00953655" w:rsidP="00DC7C18">
            <w:pPr>
              <w:ind w:left="23"/>
              <w:rPr>
                <w:rFonts w:cs="Arial"/>
                <w:sz w:val="20"/>
              </w:rPr>
            </w:pPr>
          </w:p>
        </w:tc>
        <w:tc>
          <w:tcPr>
            <w:tcW w:w="4145" w:type="dxa"/>
            <w:tcBorders>
              <w:top w:val="single" w:sz="4" w:space="0" w:color="auto"/>
              <w:left w:val="single" w:sz="4" w:space="0" w:color="auto"/>
              <w:bottom w:val="single" w:sz="4" w:space="0" w:color="auto"/>
            </w:tcBorders>
          </w:tcPr>
          <w:p w:rsidR="009D6271" w:rsidRPr="00AB1652" w:rsidRDefault="006718C2" w:rsidP="009B6344">
            <w:pPr>
              <w:ind w:left="12"/>
              <w:rPr>
                <w:rFonts w:cs="Arial"/>
                <w:sz w:val="20"/>
              </w:rPr>
            </w:pPr>
            <w:r>
              <w:rPr>
                <w:rFonts w:cs="Arial"/>
                <w:sz w:val="20"/>
              </w:rPr>
              <w:t>Health and Safety guidelines reviewed and clear information given to head teachers.</w:t>
            </w:r>
          </w:p>
        </w:tc>
      </w:tr>
      <w:tr w:rsidR="00B064C4" w:rsidRPr="00AB1652" w:rsidTr="006718C2">
        <w:tc>
          <w:tcPr>
            <w:tcW w:w="4405" w:type="dxa"/>
            <w:tcBorders>
              <w:top w:val="single" w:sz="4" w:space="0" w:color="auto"/>
              <w:bottom w:val="single" w:sz="4" w:space="0" w:color="auto"/>
              <w:right w:val="single" w:sz="4" w:space="0" w:color="auto"/>
            </w:tcBorders>
          </w:tcPr>
          <w:p w:rsidR="00C40470" w:rsidRDefault="006718C2" w:rsidP="00DC7C18">
            <w:pPr>
              <w:ind w:left="23"/>
              <w:rPr>
                <w:rFonts w:cs="Arial"/>
                <w:sz w:val="20"/>
              </w:rPr>
            </w:pPr>
            <w:r>
              <w:rPr>
                <w:rFonts w:cs="Arial"/>
                <w:sz w:val="20"/>
              </w:rPr>
              <w:t>They were not given enough notice of change to bin collection calendar.</w:t>
            </w:r>
          </w:p>
          <w:p w:rsidR="00953655" w:rsidRDefault="00953655" w:rsidP="00DC7C18">
            <w:pPr>
              <w:ind w:left="23"/>
              <w:rPr>
                <w:rFonts w:cs="Arial"/>
                <w:sz w:val="20"/>
              </w:rPr>
            </w:pPr>
          </w:p>
          <w:p w:rsidR="006718C2" w:rsidRPr="00AB1652" w:rsidRDefault="006718C2" w:rsidP="00DC7C18">
            <w:pPr>
              <w:ind w:left="23"/>
              <w:rPr>
                <w:rFonts w:cs="Arial"/>
                <w:sz w:val="20"/>
              </w:rPr>
            </w:pPr>
          </w:p>
        </w:tc>
        <w:tc>
          <w:tcPr>
            <w:tcW w:w="4145" w:type="dxa"/>
            <w:tcBorders>
              <w:top w:val="single" w:sz="4" w:space="0" w:color="auto"/>
              <w:left w:val="single" w:sz="4" w:space="0" w:color="auto"/>
              <w:bottom w:val="single" w:sz="4" w:space="0" w:color="auto"/>
            </w:tcBorders>
          </w:tcPr>
          <w:p w:rsidR="00F30651" w:rsidRPr="00AB1652" w:rsidRDefault="006718C2" w:rsidP="003F2C2A">
            <w:pPr>
              <w:ind w:left="12"/>
              <w:rPr>
                <w:rFonts w:cs="Arial"/>
                <w:sz w:val="20"/>
              </w:rPr>
            </w:pPr>
            <w:r>
              <w:rPr>
                <w:rFonts w:cs="Arial"/>
                <w:sz w:val="20"/>
              </w:rPr>
              <w:t>Calendar distribution for 2019 planned earlier than in previous years to let residents plan.</w:t>
            </w:r>
          </w:p>
        </w:tc>
      </w:tr>
      <w:tr w:rsidR="00F128C5" w:rsidRPr="00AB1652" w:rsidTr="00741961">
        <w:tc>
          <w:tcPr>
            <w:tcW w:w="4405" w:type="dxa"/>
            <w:tcBorders>
              <w:top w:val="single" w:sz="4" w:space="0" w:color="auto"/>
              <w:bottom w:val="single" w:sz="4" w:space="0" w:color="auto"/>
              <w:right w:val="single" w:sz="4" w:space="0" w:color="auto"/>
            </w:tcBorders>
          </w:tcPr>
          <w:p w:rsidR="00F128C5" w:rsidRDefault="00741961" w:rsidP="00DC7C18">
            <w:pPr>
              <w:ind w:left="23"/>
              <w:rPr>
                <w:rFonts w:cs="Arial"/>
                <w:sz w:val="20"/>
              </w:rPr>
            </w:pPr>
            <w:r>
              <w:rPr>
                <w:rFonts w:cs="Arial"/>
                <w:sz w:val="20"/>
              </w:rPr>
              <w:t>Repeated calls had to be made about missed bin collections in street.</w:t>
            </w:r>
          </w:p>
          <w:p w:rsidR="00953655" w:rsidRPr="00AB1652" w:rsidRDefault="00953655" w:rsidP="00DC7C18">
            <w:pPr>
              <w:ind w:left="23"/>
              <w:rPr>
                <w:rFonts w:cs="Arial"/>
                <w:sz w:val="20"/>
              </w:rPr>
            </w:pPr>
          </w:p>
        </w:tc>
        <w:tc>
          <w:tcPr>
            <w:tcW w:w="4145" w:type="dxa"/>
            <w:tcBorders>
              <w:top w:val="single" w:sz="4" w:space="0" w:color="auto"/>
              <w:left w:val="single" w:sz="4" w:space="0" w:color="auto"/>
              <w:bottom w:val="single" w:sz="4" w:space="0" w:color="auto"/>
            </w:tcBorders>
          </w:tcPr>
          <w:p w:rsidR="009D6271" w:rsidRPr="00AB1652" w:rsidRDefault="00741961" w:rsidP="009B6344">
            <w:pPr>
              <w:ind w:left="12"/>
              <w:rPr>
                <w:rFonts w:cs="Arial"/>
                <w:sz w:val="20"/>
              </w:rPr>
            </w:pPr>
            <w:r>
              <w:rPr>
                <w:rFonts w:cs="Arial"/>
                <w:sz w:val="20"/>
              </w:rPr>
              <w:t>Route changes implemented to better balance workloads between crews.</w:t>
            </w:r>
          </w:p>
        </w:tc>
      </w:tr>
      <w:tr w:rsidR="00953655" w:rsidRPr="00AB1652" w:rsidTr="00C40470">
        <w:trPr>
          <w:trHeight w:val="864"/>
        </w:trPr>
        <w:tc>
          <w:tcPr>
            <w:tcW w:w="4405" w:type="dxa"/>
            <w:tcBorders>
              <w:top w:val="single" w:sz="4" w:space="0" w:color="auto"/>
              <w:bottom w:val="single" w:sz="4" w:space="0" w:color="auto"/>
              <w:right w:val="single" w:sz="4" w:space="0" w:color="auto"/>
            </w:tcBorders>
          </w:tcPr>
          <w:p w:rsidR="00953655" w:rsidRDefault="00741961" w:rsidP="00DC7C18">
            <w:pPr>
              <w:ind w:left="23"/>
              <w:rPr>
                <w:rFonts w:cs="Arial"/>
                <w:sz w:val="20"/>
              </w:rPr>
            </w:pPr>
            <w:r>
              <w:rPr>
                <w:rFonts w:cs="Arial"/>
                <w:sz w:val="20"/>
              </w:rPr>
              <w:t>Parent had received messages saying son was absent when either in school or had reason for being off.</w:t>
            </w:r>
          </w:p>
          <w:p w:rsidR="00953655" w:rsidRDefault="00953655" w:rsidP="00DC7C18">
            <w:pPr>
              <w:ind w:left="23"/>
              <w:rPr>
                <w:rFonts w:cs="Arial"/>
                <w:sz w:val="20"/>
              </w:rPr>
            </w:pPr>
          </w:p>
        </w:tc>
        <w:tc>
          <w:tcPr>
            <w:tcW w:w="4145" w:type="dxa"/>
            <w:tcBorders>
              <w:top w:val="single" w:sz="4" w:space="0" w:color="auto"/>
              <w:left w:val="single" w:sz="4" w:space="0" w:color="auto"/>
              <w:bottom w:val="single" w:sz="4" w:space="0" w:color="auto"/>
            </w:tcBorders>
          </w:tcPr>
          <w:p w:rsidR="00953655" w:rsidRPr="00AB1652" w:rsidRDefault="00741961" w:rsidP="009B6344">
            <w:pPr>
              <w:ind w:left="12"/>
              <w:rPr>
                <w:rFonts w:cs="Arial"/>
                <w:sz w:val="20"/>
              </w:rPr>
            </w:pPr>
            <w:r>
              <w:rPr>
                <w:rFonts w:cs="Arial"/>
                <w:sz w:val="20"/>
              </w:rPr>
              <w:t>School's attendance procedures reviewed.</w:t>
            </w:r>
          </w:p>
        </w:tc>
      </w:tr>
      <w:tr w:rsidR="00741961" w:rsidRPr="00AB1652" w:rsidTr="003F2C2A">
        <w:tc>
          <w:tcPr>
            <w:tcW w:w="4405" w:type="dxa"/>
            <w:tcBorders>
              <w:top w:val="single" w:sz="4" w:space="0" w:color="auto"/>
              <w:bottom w:val="single" w:sz="4" w:space="0" w:color="auto"/>
              <w:right w:val="single" w:sz="4" w:space="0" w:color="auto"/>
            </w:tcBorders>
          </w:tcPr>
          <w:p w:rsidR="00741961" w:rsidRDefault="00741961" w:rsidP="00DC7C18">
            <w:pPr>
              <w:ind w:left="23"/>
              <w:rPr>
                <w:rFonts w:cs="Arial"/>
                <w:sz w:val="20"/>
              </w:rPr>
            </w:pPr>
            <w:r>
              <w:rPr>
                <w:rFonts w:cs="Arial"/>
                <w:sz w:val="20"/>
              </w:rPr>
              <w:t>Tenant complained of delay dealing with roof leaks.</w:t>
            </w:r>
          </w:p>
          <w:p w:rsidR="003F2C2A" w:rsidRDefault="003F2C2A" w:rsidP="00DC7C18">
            <w:pPr>
              <w:ind w:left="23"/>
              <w:rPr>
                <w:rFonts w:cs="Arial"/>
                <w:sz w:val="20"/>
              </w:rPr>
            </w:pPr>
          </w:p>
          <w:p w:rsidR="003F2C2A" w:rsidRDefault="003F2C2A" w:rsidP="00DC7C18">
            <w:pPr>
              <w:ind w:left="23"/>
              <w:rPr>
                <w:rFonts w:cs="Arial"/>
                <w:sz w:val="20"/>
              </w:rPr>
            </w:pPr>
          </w:p>
        </w:tc>
        <w:tc>
          <w:tcPr>
            <w:tcW w:w="4145" w:type="dxa"/>
            <w:tcBorders>
              <w:top w:val="single" w:sz="4" w:space="0" w:color="auto"/>
              <w:left w:val="single" w:sz="4" w:space="0" w:color="auto"/>
              <w:bottom w:val="single" w:sz="4" w:space="0" w:color="auto"/>
            </w:tcBorders>
          </w:tcPr>
          <w:p w:rsidR="00741961" w:rsidRDefault="00741961" w:rsidP="009B6344">
            <w:pPr>
              <w:ind w:left="12"/>
              <w:rPr>
                <w:rFonts w:cs="Arial"/>
                <w:sz w:val="20"/>
              </w:rPr>
            </w:pPr>
            <w:r>
              <w:rPr>
                <w:rFonts w:cs="Arial"/>
                <w:sz w:val="20"/>
              </w:rPr>
              <w:t xml:space="preserve">New process agreed among staff for elevation to urgent </w:t>
            </w:r>
            <w:r w:rsidR="00AF2F46">
              <w:rPr>
                <w:rFonts w:cs="Arial"/>
                <w:sz w:val="20"/>
              </w:rPr>
              <w:t xml:space="preserve">roof </w:t>
            </w:r>
            <w:r>
              <w:rPr>
                <w:rFonts w:cs="Arial"/>
                <w:sz w:val="20"/>
              </w:rPr>
              <w:t>repair programme.</w:t>
            </w:r>
          </w:p>
        </w:tc>
      </w:tr>
      <w:tr w:rsidR="00741961" w:rsidRPr="00AB1652" w:rsidTr="003F2C2A">
        <w:tc>
          <w:tcPr>
            <w:tcW w:w="4405" w:type="dxa"/>
            <w:tcBorders>
              <w:top w:val="single" w:sz="4" w:space="0" w:color="auto"/>
              <w:bottom w:val="single" w:sz="4" w:space="0" w:color="auto"/>
              <w:right w:val="single" w:sz="4" w:space="0" w:color="auto"/>
            </w:tcBorders>
          </w:tcPr>
          <w:p w:rsidR="00741961" w:rsidRDefault="00741961" w:rsidP="00DC7C18">
            <w:pPr>
              <w:ind w:left="23"/>
              <w:rPr>
                <w:rFonts w:cs="Arial"/>
                <w:sz w:val="20"/>
              </w:rPr>
            </w:pPr>
            <w:r>
              <w:rPr>
                <w:rFonts w:cs="Arial"/>
                <w:sz w:val="20"/>
              </w:rPr>
              <w:t xml:space="preserve">Unhappy with how staff member had </w:t>
            </w:r>
            <w:r w:rsidR="00AF2F46">
              <w:rPr>
                <w:rFonts w:cs="Arial"/>
                <w:sz w:val="20"/>
              </w:rPr>
              <w:t>dealt with problem with payment machine</w:t>
            </w:r>
            <w:r>
              <w:rPr>
                <w:rFonts w:cs="Arial"/>
                <w:sz w:val="20"/>
              </w:rPr>
              <w:t xml:space="preserve"> at a car park.</w:t>
            </w:r>
          </w:p>
          <w:p w:rsidR="003F2C2A" w:rsidRDefault="003F2C2A" w:rsidP="00DC7C18">
            <w:pPr>
              <w:ind w:left="23"/>
              <w:rPr>
                <w:rFonts w:cs="Arial"/>
                <w:sz w:val="20"/>
              </w:rPr>
            </w:pPr>
          </w:p>
          <w:p w:rsidR="003F2C2A" w:rsidRDefault="003F2C2A" w:rsidP="00DC7C18">
            <w:pPr>
              <w:ind w:left="23"/>
              <w:rPr>
                <w:rFonts w:cs="Arial"/>
                <w:sz w:val="20"/>
              </w:rPr>
            </w:pPr>
          </w:p>
        </w:tc>
        <w:tc>
          <w:tcPr>
            <w:tcW w:w="4145" w:type="dxa"/>
            <w:tcBorders>
              <w:top w:val="single" w:sz="4" w:space="0" w:color="auto"/>
              <w:left w:val="single" w:sz="4" w:space="0" w:color="auto"/>
              <w:bottom w:val="single" w:sz="4" w:space="0" w:color="auto"/>
            </w:tcBorders>
          </w:tcPr>
          <w:p w:rsidR="00741961" w:rsidRDefault="00741961" w:rsidP="009B6344">
            <w:pPr>
              <w:ind w:left="12"/>
              <w:rPr>
                <w:rFonts w:cs="Arial"/>
                <w:sz w:val="20"/>
              </w:rPr>
            </w:pPr>
            <w:r>
              <w:rPr>
                <w:rFonts w:cs="Arial"/>
                <w:sz w:val="20"/>
              </w:rPr>
              <w:t>Staff advised to give clearer explanation of issue.  All car park operatives to attend World Host training on customer care.</w:t>
            </w:r>
          </w:p>
        </w:tc>
      </w:tr>
      <w:tr w:rsidR="003F2C2A" w:rsidRPr="00AB1652" w:rsidTr="003F2C2A">
        <w:tc>
          <w:tcPr>
            <w:tcW w:w="4405" w:type="dxa"/>
            <w:tcBorders>
              <w:top w:val="single" w:sz="4" w:space="0" w:color="auto"/>
              <w:bottom w:val="single" w:sz="4" w:space="0" w:color="auto"/>
              <w:right w:val="single" w:sz="4" w:space="0" w:color="auto"/>
            </w:tcBorders>
          </w:tcPr>
          <w:p w:rsidR="003F2C2A" w:rsidRDefault="003F2C2A" w:rsidP="00DC7C18">
            <w:pPr>
              <w:ind w:left="23"/>
              <w:rPr>
                <w:rFonts w:cs="Arial"/>
                <w:sz w:val="20"/>
              </w:rPr>
            </w:pPr>
            <w:r>
              <w:rPr>
                <w:rFonts w:cs="Arial"/>
                <w:sz w:val="20"/>
              </w:rPr>
              <w:t>Benefit applicant concerned about length of time held on phone and inability of reception staff to help</w:t>
            </w:r>
            <w:r w:rsidR="00AF2F46">
              <w:rPr>
                <w:rFonts w:cs="Arial"/>
                <w:sz w:val="20"/>
              </w:rPr>
              <w:t xml:space="preserve"> with application</w:t>
            </w:r>
            <w:r>
              <w:rPr>
                <w:rFonts w:cs="Arial"/>
                <w:sz w:val="20"/>
              </w:rPr>
              <w:t>.</w:t>
            </w:r>
          </w:p>
        </w:tc>
        <w:tc>
          <w:tcPr>
            <w:tcW w:w="4145" w:type="dxa"/>
            <w:tcBorders>
              <w:top w:val="single" w:sz="4" w:space="0" w:color="auto"/>
              <w:left w:val="single" w:sz="4" w:space="0" w:color="auto"/>
              <w:bottom w:val="single" w:sz="4" w:space="0" w:color="auto"/>
            </w:tcBorders>
          </w:tcPr>
          <w:p w:rsidR="003F2C2A" w:rsidRDefault="003F2C2A" w:rsidP="009B6344">
            <w:pPr>
              <w:ind w:left="12"/>
              <w:rPr>
                <w:rFonts w:cs="Arial"/>
                <w:sz w:val="20"/>
              </w:rPr>
            </w:pPr>
            <w:r>
              <w:rPr>
                <w:rFonts w:cs="Arial"/>
                <w:sz w:val="20"/>
              </w:rPr>
              <w:t>Frontline staff given</w:t>
            </w:r>
            <w:r w:rsidR="00AF2F46">
              <w:rPr>
                <w:rFonts w:cs="Arial"/>
                <w:sz w:val="20"/>
              </w:rPr>
              <w:t xml:space="preserve"> further guidance on facility for</w:t>
            </w:r>
            <w:r>
              <w:rPr>
                <w:rFonts w:cs="Arial"/>
                <w:sz w:val="20"/>
              </w:rPr>
              <w:t xml:space="preserve"> people to make online applications.</w:t>
            </w:r>
          </w:p>
          <w:p w:rsidR="003F2C2A" w:rsidRDefault="003F2C2A" w:rsidP="009B6344">
            <w:pPr>
              <w:ind w:left="12"/>
              <w:rPr>
                <w:rFonts w:cs="Arial"/>
                <w:sz w:val="20"/>
              </w:rPr>
            </w:pPr>
          </w:p>
        </w:tc>
      </w:tr>
    </w:tbl>
    <w:p w:rsidR="003D2E54" w:rsidRPr="00AB1652" w:rsidRDefault="003D2E54">
      <w:pPr>
        <w:rPr>
          <w:sz w:val="20"/>
        </w:rPr>
      </w:pPr>
    </w:p>
    <w:p w:rsidR="00540467" w:rsidRPr="00AB1652" w:rsidRDefault="00CE5947" w:rsidP="00540467">
      <w:pPr>
        <w:ind w:left="720" w:hanging="720"/>
        <w:jc w:val="both"/>
        <w:rPr>
          <w:rFonts w:cs="Arial"/>
          <w:sz w:val="20"/>
        </w:rPr>
      </w:pPr>
      <w:r w:rsidRPr="00AB1652">
        <w:rPr>
          <w:rFonts w:cs="Arial"/>
          <w:sz w:val="20"/>
        </w:rPr>
        <w:t>6.</w:t>
      </w:r>
      <w:r w:rsidR="000D2A2D">
        <w:rPr>
          <w:rFonts w:cs="Arial"/>
          <w:sz w:val="20"/>
        </w:rPr>
        <w:t>6</w:t>
      </w:r>
      <w:r w:rsidR="00ED7D60" w:rsidRPr="00AB1652">
        <w:rPr>
          <w:rFonts w:cs="Arial"/>
          <w:sz w:val="20"/>
        </w:rPr>
        <w:tab/>
        <w:t>T</w:t>
      </w:r>
      <w:r w:rsidR="00540467" w:rsidRPr="00AB1652">
        <w:rPr>
          <w:rFonts w:cs="Arial"/>
          <w:sz w:val="20"/>
        </w:rPr>
        <w:t xml:space="preserve">he electronic </w:t>
      </w:r>
      <w:r w:rsidR="00ED7D60" w:rsidRPr="00AB1652">
        <w:rPr>
          <w:rFonts w:cs="Arial"/>
          <w:sz w:val="20"/>
        </w:rPr>
        <w:t>complaints recording system also has a feature which sends</w:t>
      </w:r>
      <w:r w:rsidR="00540467" w:rsidRPr="00AB1652">
        <w:rPr>
          <w:rFonts w:cs="Arial"/>
          <w:sz w:val="20"/>
        </w:rPr>
        <w:t xml:space="preserve"> an automat</w:t>
      </w:r>
      <w:r w:rsidR="00ED7D60" w:rsidRPr="00AB1652">
        <w:rPr>
          <w:rFonts w:cs="Arial"/>
          <w:sz w:val="20"/>
        </w:rPr>
        <w:t xml:space="preserve">ic ‘follow-up’ email </w:t>
      </w:r>
      <w:r w:rsidR="00540467" w:rsidRPr="00AB1652">
        <w:rPr>
          <w:rFonts w:cs="Arial"/>
          <w:sz w:val="20"/>
        </w:rPr>
        <w:t>to those who record planned service improvements when closing complaints.  The aim is to ensure that these improvements are implemented.  Officers are prompted to give further updates a month after the complaint was closed</w:t>
      </w:r>
      <w:r w:rsidR="00C16DCA">
        <w:rPr>
          <w:rFonts w:cs="Arial"/>
          <w:sz w:val="20"/>
        </w:rPr>
        <w:t>, and until the improvement action is complete</w:t>
      </w:r>
      <w:r w:rsidR="00540467" w:rsidRPr="00AB1652">
        <w:rPr>
          <w:rFonts w:cs="Arial"/>
          <w:sz w:val="20"/>
        </w:rPr>
        <w:t>, and these are also reviewed by the Complaints Review Group.</w:t>
      </w:r>
    </w:p>
    <w:p w:rsidR="00540467" w:rsidRPr="00AB1652" w:rsidRDefault="00540467" w:rsidP="00540467">
      <w:pPr>
        <w:ind w:left="720" w:hanging="720"/>
        <w:jc w:val="both"/>
        <w:rPr>
          <w:rFonts w:cs="Arial"/>
          <w:sz w:val="20"/>
        </w:rPr>
      </w:pPr>
    </w:p>
    <w:p w:rsidR="00540467" w:rsidRPr="00AB1652" w:rsidRDefault="00CE5947" w:rsidP="00540467">
      <w:pPr>
        <w:ind w:left="720" w:hanging="720"/>
        <w:jc w:val="both"/>
        <w:rPr>
          <w:rFonts w:cs="Arial"/>
          <w:sz w:val="20"/>
        </w:rPr>
      </w:pPr>
      <w:r w:rsidRPr="00AB1652">
        <w:rPr>
          <w:rFonts w:cs="Arial"/>
          <w:sz w:val="20"/>
        </w:rPr>
        <w:t>6.</w:t>
      </w:r>
      <w:r w:rsidR="000D2A2D">
        <w:rPr>
          <w:rFonts w:cs="Arial"/>
          <w:sz w:val="20"/>
        </w:rPr>
        <w:t>7</w:t>
      </w:r>
      <w:r w:rsidR="00540467" w:rsidRPr="00AB1652">
        <w:rPr>
          <w:rFonts w:cs="Arial"/>
          <w:sz w:val="20"/>
        </w:rPr>
        <w:tab/>
        <w:t>Analysis of complaints will be used systematically</w:t>
      </w:r>
      <w:r w:rsidR="00333A7B" w:rsidRPr="00AB1652">
        <w:rPr>
          <w:rFonts w:cs="Arial"/>
          <w:sz w:val="20"/>
        </w:rPr>
        <w:t xml:space="preserve"> to inform decisions on topics</w:t>
      </w:r>
      <w:r w:rsidR="00540467" w:rsidRPr="00AB1652">
        <w:rPr>
          <w:rFonts w:cs="Arial"/>
          <w:sz w:val="20"/>
        </w:rPr>
        <w:t xml:space="preserve"> for STEP reviews.  STEP (Systems Thinking Empowers People) is the Council’s approach to service improvement based on the principles of lean service and customer insight, and it is felt that this approach lends itself well to learning from complaints and improving processes to prevent recurrence.</w:t>
      </w:r>
      <w:r w:rsidR="002602E2">
        <w:rPr>
          <w:rFonts w:cs="Arial"/>
          <w:sz w:val="20"/>
        </w:rPr>
        <w:t xml:space="preserve">  As part of the BOLD programme, plans are being developed for a regular improvement group that would help people set up STEP/Service Design projects to address the root causes of complaints.</w:t>
      </w:r>
    </w:p>
    <w:p w:rsidR="00F26BD4" w:rsidRPr="00AB1652" w:rsidRDefault="00F26BD4" w:rsidP="00540467">
      <w:pPr>
        <w:ind w:left="720" w:hanging="720"/>
        <w:jc w:val="both"/>
        <w:rPr>
          <w:rFonts w:cs="Arial"/>
          <w:sz w:val="20"/>
        </w:rPr>
      </w:pPr>
    </w:p>
    <w:p w:rsidR="00C40470" w:rsidRDefault="00CE5947" w:rsidP="00540467">
      <w:pPr>
        <w:ind w:left="720" w:hanging="720"/>
        <w:jc w:val="both"/>
        <w:rPr>
          <w:rFonts w:cs="Arial"/>
          <w:sz w:val="20"/>
        </w:rPr>
      </w:pPr>
      <w:r w:rsidRPr="00AB1652">
        <w:rPr>
          <w:rFonts w:cs="Arial"/>
          <w:sz w:val="20"/>
        </w:rPr>
        <w:t>6.</w:t>
      </w:r>
      <w:r w:rsidR="000D2A2D">
        <w:rPr>
          <w:rFonts w:cs="Arial"/>
          <w:sz w:val="20"/>
        </w:rPr>
        <w:t>8</w:t>
      </w:r>
      <w:r w:rsidR="00540467" w:rsidRPr="00AB1652">
        <w:rPr>
          <w:rFonts w:cs="Arial"/>
          <w:sz w:val="20"/>
        </w:rPr>
        <w:tab/>
        <w:t>We also learn from complaints about other authorities.  Each month the Scottish Publi</w:t>
      </w:r>
      <w:r w:rsidR="00B064C4" w:rsidRPr="00AB1652">
        <w:rPr>
          <w:rFonts w:cs="Arial"/>
          <w:sz w:val="20"/>
        </w:rPr>
        <w:t xml:space="preserve">c Services Ombudsman issues a </w:t>
      </w:r>
      <w:r w:rsidR="00540467" w:rsidRPr="00AB1652">
        <w:rPr>
          <w:rFonts w:cs="Arial"/>
          <w:sz w:val="20"/>
        </w:rPr>
        <w:t>newslet</w:t>
      </w:r>
      <w:r w:rsidR="00B0157B">
        <w:rPr>
          <w:rFonts w:cs="Arial"/>
          <w:sz w:val="20"/>
        </w:rPr>
        <w:t xml:space="preserve">ter highlighting complaints and, where these concern local government, </w:t>
      </w:r>
      <w:r w:rsidR="00540467" w:rsidRPr="00AB1652">
        <w:rPr>
          <w:rFonts w:cs="Arial"/>
          <w:sz w:val="20"/>
        </w:rPr>
        <w:t>we draw these reports to the attention of relevant services to ensure they are aware of any criticisms</w:t>
      </w:r>
      <w:r w:rsidR="00ED7D60" w:rsidRPr="00AB1652">
        <w:rPr>
          <w:rFonts w:cs="Arial"/>
          <w:sz w:val="20"/>
        </w:rPr>
        <w:t xml:space="preserve"> of other Councils</w:t>
      </w:r>
      <w:r w:rsidR="00C16DCA">
        <w:rPr>
          <w:rFonts w:cs="Arial"/>
          <w:sz w:val="20"/>
        </w:rPr>
        <w:t xml:space="preserve"> or examples of good practice.</w:t>
      </w:r>
    </w:p>
    <w:p w:rsidR="00541E16" w:rsidRDefault="00541E16" w:rsidP="00540467">
      <w:pPr>
        <w:ind w:left="720" w:hanging="720"/>
        <w:jc w:val="both"/>
        <w:rPr>
          <w:rFonts w:cs="Arial"/>
          <w:sz w:val="20"/>
        </w:rPr>
      </w:pPr>
    </w:p>
    <w:p w:rsidR="00541E16" w:rsidRDefault="00541E16" w:rsidP="00540467">
      <w:pPr>
        <w:ind w:left="720" w:hanging="720"/>
        <w:jc w:val="both"/>
        <w:rPr>
          <w:rFonts w:cs="Arial"/>
          <w:sz w:val="20"/>
        </w:rPr>
      </w:pPr>
      <w:r>
        <w:rPr>
          <w:rFonts w:cs="Arial"/>
          <w:sz w:val="20"/>
        </w:rPr>
        <w:t>6.</w:t>
      </w:r>
      <w:r w:rsidR="000D2A2D">
        <w:rPr>
          <w:rFonts w:cs="Arial"/>
          <w:sz w:val="20"/>
        </w:rPr>
        <w:t>9</w:t>
      </w:r>
      <w:r>
        <w:rPr>
          <w:rFonts w:cs="Arial"/>
          <w:sz w:val="20"/>
        </w:rPr>
        <w:tab/>
        <w:t xml:space="preserve">Analysing complaints is just one of a wide range of methods the Council uses to gather feedback from the people who use its services, in order to drive continuous improvement.  Because councillors have so much interaction with customers and service users, we are keen to </w:t>
      </w:r>
      <w:r w:rsidR="00C16DCA">
        <w:rPr>
          <w:rFonts w:cs="Arial"/>
          <w:sz w:val="20"/>
        </w:rPr>
        <w:t>ensure</w:t>
      </w:r>
      <w:r>
        <w:rPr>
          <w:rFonts w:cs="Arial"/>
          <w:sz w:val="20"/>
        </w:rPr>
        <w:t xml:space="preserve"> that feedback from these contacts, which would help to identify improvements, is not missed.  </w:t>
      </w:r>
      <w:r w:rsidR="001D0CF8">
        <w:rPr>
          <w:rFonts w:cs="Arial"/>
          <w:sz w:val="20"/>
        </w:rPr>
        <w:t>In 2017,</w:t>
      </w:r>
      <w:r>
        <w:rPr>
          <w:rFonts w:cs="Arial"/>
          <w:sz w:val="20"/>
        </w:rPr>
        <w:t xml:space="preserve"> we piloted a short </w:t>
      </w:r>
      <w:r w:rsidR="007D7425">
        <w:rPr>
          <w:rFonts w:cs="Arial"/>
          <w:sz w:val="20"/>
        </w:rPr>
        <w:t>survey</w:t>
      </w:r>
      <w:r>
        <w:rPr>
          <w:rFonts w:cs="Arial"/>
          <w:sz w:val="20"/>
        </w:rPr>
        <w:t xml:space="preserve"> giving members the opportunity to identify the most common subjects raised by constituents and any suggestions for Council processes or policies which, if improved, would reduce the number of issues raised with them.  </w:t>
      </w:r>
      <w:r w:rsidR="00C16DCA">
        <w:rPr>
          <w:rFonts w:cs="Arial"/>
          <w:sz w:val="20"/>
        </w:rPr>
        <w:t xml:space="preserve">This survey has now been carried out a further </w:t>
      </w:r>
      <w:r w:rsidR="001D0CF8">
        <w:rPr>
          <w:rFonts w:cs="Arial"/>
          <w:sz w:val="20"/>
        </w:rPr>
        <w:t>three times</w:t>
      </w:r>
      <w:r w:rsidR="00C16DCA">
        <w:rPr>
          <w:rFonts w:cs="Arial"/>
          <w:sz w:val="20"/>
        </w:rPr>
        <w:t xml:space="preserve">.  </w:t>
      </w:r>
      <w:r>
        <w:rPr>
          <w:rFonts w:cs="Arial"/>
          <w:sz w:val="20"/>
        </w:rPr>
        <w:t xml:space="preserve">The most common </w:t>
      </w:r>
      <w:r w:rsidR="007D7425">
        <w:rPr>
          <w:rFonts w:cs="Arial"/>
          <w:sz w:val="20"/>
        </w:rPr>
        <w:t>themes</w:t>
      </w:r>
      <w:r>
        <w:rPr>
          <w:rFonts w:cs="Arial"/>
          <w:sz w:val="20"/>
        </w:rPr>
        <w:t xml:space="preserve"> highlighted by members</w:t>
      </w:r>
      <w:r w:rsidR="00C16DCA">
        <w:rPr>
          <w:rFonts w:cs="Arial"/>
          <w:sz w:val="20"/>
        </w:rPr>
        <w:t xml:space="preserve"> in the most recent survey</w:t>
      </w:r>
      <w:r>
        <w:rPr>
          <w:rFonts w:cs="Arial"/>
          <w:sz w:val="20"/>
        </w:rPr>
        <w:t xml:space="preserve"> were housing, </w:t>
      </w:r>
      <w:r w:rsidR="006319C0">
        <w:rPr>
          <w:rFonts w:cs="Arial"/>
          <w:sz w:val="20"/>
        </w:rPr>
        <w:t xml:space="preserve">bins, roads and </w:t>
      </w:r>
      <w:r>
        <w:rPr>
          <w:rFonts w:cs="Arial"/>
          <w:sz w:val="20"/>
        </w:rPr>
        <w:t>anti-social behaviour</w:t>
      </w:r>
      <w:r w:rsidR="007D7425">
        <w:rPr>
          <w:rFonts w:cs="Arial"/>
          <w:sz w:val="20"/>
        </w:rPr>
        <w:t>.</w:t>
      </w:r>
      <w:r>
        <w:rPr>
          <w:rFonts w:cs="Arial"/>
          <w:sz w:val="20"/>
        </w:rPr>
        <w:t xml:space="preserve"> </w:t>
      </w:r>
      <w:r w:rsidR="007D7425">
        <w:rPr>
          <w:rFonts w:cs="Arial"/>
          <w:sz w:val="20"/>
        </w:rPr>
        <w:t xml:space="preserve"> S</w:t>
      </w:r>
      <w:r>
        <w:rPr>
          <w:rFonts w:cs="Arial"/>
          <w:sz w:val="20"/>
        </w:rPr>
        <w:t xml:space="preserve">uggestions for improvements </w:t>
      </w:r>
      <w:r w:rsidR="00FC0197">
        <w:rPr>
          <w:rFonts w:cs="Arial"/>
          <w:sz w:val="20"/>
        </w:rPr>
        <w:t>which might reduce the number of complaints from constituents included</w:t>
      </w:r>
      <w:r>
        <w:rPr>
          <w:rFonts w:cs="Arial"/>
          <w:sz w:val="20"/>
        </w:rPr>
        <w:t>:</w:t>
      </w:r>
    </w:p>
    <w:p w:rsidR="00541E16" w:rsidRDefault="00541E16" w:rsidP="00A6320A">
      <w:pPr>
        <w:ind w:left="1440" w:hanging="720"/>
        <w:jc w:val="both"/>
        <w:rPr>
          <w:rFonts w:cs="Arial"/>
          <w:sz w:val="20"/>
        </w:rPr>
      </w:pPr>
    </w:p>
    <w:p w:rsidR="00A6320A" w:rsidRDefault="001D0CF8" w:rsidP="006D0A9B">
      <w:pPr>
        <w:pStyle w:val="ListParagraph"/>
        <w:numPr>
          <w:ilvl w:val="0"/>
          <w:numId w:val="29"/>
        </w:numPr>
        <w:ind w:left="1134" w:hanging="436"/>
        <w:jc w:val="both"/>
        <w:rPr>
          <w:rFonts w:cs="Arial"/>
          <w:sz w:val="20"/>
        </w:rPr>
      </w:pPr>
      <w:r>
        <w:rPr>
          <w:rFonts w:cs="Arial"/>
          <w:sz w:val="20"/>
        </w:rPr>
        <w:t>a more reactive helpline/contact process so problems are directed to the relevant team and are sorted promptly.</w:t>
      </w:r>
    </w:p>
    <w:p w:rsidR="001D0CF8" w:rsidRDefault="001D0CF8" w:rsidP="006D0A9B">
      <w:pPr>
        <w:ind w:left="1134" w:hanging="436"/>
        <w:jc w:val="both"/>
        <w:rPr>
          <w:rFonts w:cs="Arial"/>
          <w:sz w:val="20"/>
        </w:rPr>
      </w:pPr>
    </w:p>
    <w:p w:rsidR="001D0CF8" w:rsidRDefault="001D0CF8" w:rsidP="006D0A9B">
      <w:pPr>
        <w:pStyle w:val="ListParagraph"/>
        <w:numPr>
          <w:ilvl w:val="0"/>
          <w:numId w:val="29"/>
        </w:numPr>
        <w:ind w:left="1134" w:hanging="436"/>
        <w:jc w:val="both"/>
        <w:rPr>
          <w:rFonts w:cs="Arial"/>
          <w:sz w:val="20"/>
        </w:rPr>
      </w:pPr>
      <w:r>
        <w:rPr>
          <w:rFonts w:cs="Arial"/>
          <w:sz w:val="20"/>
        </w:rPr>
        <w:t>prompt responses to members' queries in line with response time guidelines.</w:t>
      </w:r>
    </w:p>
    <w:p w:rsidR="001D0CF8" w:rsidRDefault="001D0CF8" w:rsidP="006D0A9B">
      <w:pPr>
        <w:ind w:left="1134" w:hanging="436"/>
        <w:jc w:val="both"/>
        <w:rPr>
          <w:rFonts w:cs="Arial"/>
          <w:sz w:val="20"/>
        </w:rPr>
      </w:pPr>
    </w:p>
    <w:p w:rsidR="001D0CF8" w:rsidRDefault="001D0CF8" w:rsidP="006D0A9B">
      <w:pPr>
        <w:pStyle w:val="ListParagraph"/>
        <w:numPr>
          <w:ilvl w:val="0"/>
          <w:numId w:val="29"/>
        </w:numPr>
        <w:ind w:left="1134" w:hanging="436"/>
        <w:jc w:val="both"/>
        <w:rPr>
          <w:rFonts w:cs="Arial"/>
          <w:sz w:val="20"/>
        </w:rPr>
      </w:pPr>
      <w:r>
        <w:rPr>
          <w:rFonts w:cs="Arial"/>
          <w:sz w:val="20"/>
        </w:rPr>
        <w:t>clear explanations of processes, including good customer relations when problems can't be easily fixed.</w:t>
      </w:r>
    </w:p>
    <w:p w:rsidR="001D0CF8" w:rsidRDefault="001D0CF8" w:rsidP="006D0A9B">
      <w:pPr>
        <w:ind w:left="1134" w:hanging="436"/>
        <w:jc w:val="both"/>
        <w:rPr>
          <w:rFonts w:cs="Arial"/>
          <w:sz w:val="20"/>
        </w:rPr>
      </w:pPr>
    </w:p>
    <w:p w:rsidR="001D0CF8" w:rsidRDefault="001F4C50" w:rsidP="006D0A9B">
      <w:pPr>
        <w:pStyle w:val="ListParagraph"/>
        <w:numPr>
          <w:ilvl w:val="0"/>
          <w:numId w:val="29"/>
        </w:numPr>
        <w:ind w:left="1134" w:hanging="436"/>
        <w:jc w:val="both"/>
        <w:rPr>
          <w:rFonts w:cs="Arial"/>
          <w:sz w:val="20"/>
        </w:rPr>
      </w:pPr>
      <w:r>
        <w:rPr>
          <w:rFonts w:cs="Arial"/>
          <w:sz w:val="20"/>
        </w:rPr>
        <w:t xml:space="preserve">enhanced response to boiler breakdowns at </w:t>
      </w:r>
      <w:r w:rsidR="001D0CF8">
        <w:rPr>
          <w:rFonts w:cs="Arial"/>
          <w:sz w:val="20"/>
        </w:rPr>
        <w:t>weekends.</w:t>
      </w:r>
    </w:p>
    <w:p w:rsidR="001D0CF8" w:rsidRDefault="001D0CF8" w:rsidP="006D0A9B">
      <w:pPr>
        <w:ind w:left="1134" w:hanging="436"/>
        <w:jc w:val="both"/>
        <w:rPr>
          <w:rFonts w:cs="Arial"/>
          <w:sz w:val="20"/>
        </w:rPr>
      </w:pPr>
    </w:p>
    <w:p w:rsidR="001D0CF8" w:rsidRPr="001D0CF8" w:rsidRDefault="001D0CF8" w:rsidP="006D0A9B">
      <w:pPr>
        <w:pStyle w:val="ListParagraph"/>
        <w:numPr>
          <w:ilvl w:val="0"/>
          <w:numId w:val="29"/>
        </w:numPr>
        <w:ind w:left="1134" w:hanging="436"/>
        <w:jc w:val="both"/>
        <w:rPr>
          <w:rFonts w:cs="Arial"/>
          <w:sz w:val="20"/>
        </w:rPr>
      </w:pPr>
      <w:r>
        <w:rPr>
          <w:rFonts w:cs="Arial"/>
          <w:sz w:val="20"/>
        </w:rPr>
        <w:t>keeping people who have made complaints informed</w:t>
      </w:r>
      <w:r w:rsidR="006D0A9B">
        <w:rPr>
          <w:rFonts w:cs="Arial"/>
          <w:sz w:val="20"/>
        </w:rPr>
        <w:t>.</w:t>
      </w:r>
    </w:p>
    <w:p w:rsidR="001D0CF8" w:rsidRDefault="001D0CF8" w:rsidP="00303BF7">
      <w:pPr>
        <w:pStyle w:val="ListParagraph"/>
        <w:ind w:left="1276" w:hanging="556"/>
        <w:jc w:val="both"/>
        <w:rPr>
          <w:rFonts w:cs="Arial"/>
          <w:sz w:val="20"/>
        </w:rPr>
      </w:pPr>
    </w:p>
    <w:p w:rsidR="007D7425" w:rsidRDefault="007D7425" w:rsidP="00FC0197">
      <w:pPr>
        <w:pStyle w:val="ListParagraph"/>
        <w:jc w:val="both"/>
        <w:rPr>
          <w:rFonts w:cs="Arial"/>
          <w:sz w:val="20"/>
        </w:rPr>
      </w:pPr>
      <w:r>
        <w:rPr>
          <w:rFonts w:cs="Arial"/>
          <w:sz w:val="20"/>
        </w:rPr>
        <w:t xml:space="preserve">These issues will be </w:t>
      </w:r>
      <w:r w:rsidR="00A6320A">
        <w:rPr>
          <w:rFonts w:cs="Arial"/>
          <w:sz w:val="20"/>
        </w:rPr>
        <w:t>raised w</w:t>
      </w:r>
      <w:r w:rsidR="00FC0197">
        <w:rPr>
          <w:rFonts w:cs="Arial"/>
          <w:sz w:val="20"/>
        </w:rPr>
        <w:t>ith the Council Management Team</w:t>
      </w:r>
      <w:r w:rsidR="001D0CF8">
        <w:rPr>
          <w:rFonts w:cs="Arial"/>
          <w:sz w:val="20"/>
        </w:rPr>
        <w:t>.</w:t>
      </w:r>
    </w:p>
    <w:p w:rsidR="007D7425" w:rsidRDefault="007D7425" w:rsidP="00303BF7">
      <w:pPr>
        <w:pStyle w:val="ListParagraph"/>
        <w:ind w:left="1276" w:hanging="556"/>
        <w:jc w:val="both"/>
        <w:rPr>
          <w:rFonts w:cs="Arial"/>
          <w:sz w:val="20"/>
        </w:rPr>
      </w:pPr>
    </w:p>
    <w:p w:rsidR="007D7425" w:rsidRDefault="007D7425" w:rsidP="007D7425">
      <w:pPr>
        <w:pStyle w:val="ListParagraph"/>
        <w:ind w:left="709"/>
        <w:jc w:val="both"/>
        <w:rPr>
          <w:rFonts w:cs="Arial"/>
          <w:sz w:val="20"/>
        </w:rPr>
      </w:pPr>
      <w:r>
        <w:rPr>
          <w:rFonts w:cs="Arial"/>
          <w:sz w:val="20"/>
        </w:rPr>
        <w:t xml:space="preserve">One </w:t>
      </w:r>
      <w:r w:rsidR="00A6320A">
        <w:rPr>
          <w:rFonts w:cs="Arial"/>
          <w:sz w:val="20"/>
        </w:rPr>
        <w:t xml:space="preserve">member </w:t>
      </w:r>
      <w:r w:rsidR="001D0CF8">
        <w:rPr>
          <w:rFonts w:cs="Arial"/>
          <w:sz w:val="20"/>
        </w:rPr>
        <w:t>welcomed that</w:t>
      </w:r>
      <w:r w:rsidR="00A6320A">
        <w:rPr>
          <w:rFonts w:cs="Arial"/>
          <w:sz w:val="20"/>
        </w:rPr>
        <w:t xml:space="preserve"> </w:t>
      </w:r>
      <w:r>
        <w:rPr>
          <w:rFonts w:cs="Arial"/>
          <w:sz w:val="20"/>
        </w:rPr>
        <w:t xml:space="preserve">the development of a case management system which allows members to track cases </w:t>
      </w:r>
      <w:r w:rsidR="001D0CF8">
        <w:rPr>
          <w:rFonts w:cs="Arial"/>
          <w:sz w:val="20"/>
        </w:rPr>
        <w:t>is underway.</w:t>
      </w:r>
    </w:p>
    <w:p w:rsidR="007D7425" w:rsidRDefault="007D7425" w:rsidP="007D7425">
      <w:pPr>
        <w:pStyle w:val="ListParagraph"/>
        <w:ind w:left="709"/>
        <w:jc w:val="both"/>
        <w:rPr>
          <w:rFonts w:cs="Arial"/>
          <w:sz w:val="20"/>
        </w:rPr>
      </w:pPr>
    </w:p>
    <w:p w:rsidR="00541E16" w:rsidRDefault="00A6320A" w:rsidP="00541E16">
      <w:pPr>
        <w:pStyle w:val="ListParagraph"/>
        <w:ind w:left="709"/>
        <w:jc w:val="both"/>
        <w:rPr>
          <w:rFonts w:cs="Arial"/>
          <w:sz w:val="20"/>
        </w:rPr>
      </w:pPr>
      <w:r>
        <w:rPr>
          <w:rFonts w:cs="Arial"/>
          <w:sz w:val="20"/>
        </w:rPr>
        <w:t>Members</w:t>
      </w:r>
      <w:r w:rsidR="001D0CF8">
        <w:rPr>
          <w:rFonts w:cs="Arial"/>
          <w:sz w:val="20"/>
        </w:rPr>
        <w:t>,</w:t>
      </w:r>
      <w:r>
        <w:rPr>
          <w:rFonts w:cs="Arial"/>
          <w:sz w:val="20"/>
        </w:rPr>
        <w:t xml:space="preserve"> </w:t>
      </w:r>
      <w:r w:rsidR="001D0CF8">
        <w:rPr>
          <w:rFonts w:cs="Arial"/>
          <w:sz w:val="20"/>
        </w:rPr>
        <w:t xml:space="preserve">on average, </w:t>
      </w:r>
      <w:r>
        <w:rPr>
          <w:rFonts w:cs="Arial"/>
          <w:sz w:val="20"/>
        </w:rPr>
        <w:t xml:space="preserve">generally felt that </w:t>
      </w:r>
      <w:r w:rsidR="001D0CF8">
        <w:rPr>
          <w:rFonts w:cs="Arial"/>
          <w:sz w:val="20"/>
        </w:rPr>
        <w:t>around half of the</w:t>
      </w:r>
      <w:r>
        <w:rPr>
          <w:rFonts w:cs="Arial"/>
          <w:sz w:val="20"/>
        </w:rPr>
        <w:t xml:space="preserve"> issues raised with them matched the definition of 'complaints'.  Of these, the most </w:t>
      </w:r>
      <w:r w:rsidR="00541E16">
        <w:rPr>
          <w:rFonts w:cs="Arial"/>
          <w:sz w:val="20"/>
        </w:rPr>
        <w:t>common mentions were for:</w:t>
      </w:r>
    </w:p>
    <w:p w:rsidR="00E6538A" w:rsidRDefault="00E6538A" w:rsidP="00E6538A">
      <w:pPr>
        <w:ind w:left="709"/>
        <w:rPr>
          <w:rFonts w:cs="Arial"/>
          <w:sz w:val="20"/>
        </w:rPr>
      </w:pPr>
    </w:p>
    <w:p w:rsidR="00541E16" w:rsidRDefault="00541E16" w:rsidP="00303BF7">
      <w:pPr>
        <w:pStyle w:val="ListParagraph"/>
        <w:numPr>
          <w:ilvl w:val="0"/>
          <w:numId w:val="24"/>
        </w:numPr>
        <w:ind w:left="1276" w:hanging="567"/>
        <w:jc w:val="both"/>
        <w:rPr>
          <w:rFonts w:cs="Arial"/>
          <w:sz w:val="20"/>
        </w:rPr>
      </w:pPr>
      <w:r>
        <w:rPr>
          <w:rFonts w:cs="Arial"/>
          <w:sz w:val="20"/>
        </w:rPr>
        <w:t>delay in responding to enquiries and requests</w:t>
      </w:r>
    </w:p>
    <w:p w:rsidR="00541E16" w:rsidRDefault="00541E16" w:rsidP="00303BF7">
      <w:pPr>
        <w:pStyle w:val="ListParagraph"/>
        <w:numPr>
          <w:ilvl w:val="0"/>
          <w:numId w:val="24"/>
        </w:numPr>
        <w:ind w:left="1276" w:hanging="567"/>
        <w:jc w:val="both"/>
        <w:rPr>
          <w:rFonts w:cs="Arial"/>
          <w:sz w:val="20"/>
        </w:rPr>
      </w:pPr>
      <w:r>
        <w:rPr>
          <w:rFonts w:cs="Arial"/>
          <w:sz w:val="20"/>
        </w:rPr>
        <w:t>failure to provide a service</w:t>
      </w:r>
    </w:p>
    <w:p w:rsidR="00A6320A" w:rsidRDefault="00A6320A" w:rsidP="00303BF7">
      <w:pPr>
        <w:pStyle w:val="ListParagraph"/>
        <w:numPr>
          <w:ilvl w:val="0"/>
          <w:numId w:val="24"/>
        </w:numPr>
        <w:ind w:left="1276" w:hanging="567"/>
        <w:jc w:val="both"/>
        <w:rPr>
          <w:rFonts w:cs="Arial"/>
          <w:sz w:val="20"/>
        </w:rPr>
      </w:pPr>
      <w:r>
        <w:rPr>
          <w:rFonts w:cs="Arial"/>
          <w:sz w:val="20"/>
        </w:rPr>
        <w:t>standard of service</w:t>
      </w:r>
    </w:p>
    <w:p w:rsidR="00541E16" w:rsidRDefault="00541E16" w:rsidP="007827AF">
      <w:pPr>
        <w:pStyle w:val="ListParagraph"/>
        <w:jc w:val="both"/>
        <w:rPr>
          <w:rFonts w:cs="Arial"/>
          <w:sz w:val="20"/>
        </w:rPr>
      </w:pPr>
    </w:p>
    <w:p w:rsidR="000518E5" w:rsidRDefault="00240B73" w:rsidP="002602E2">
      <w:pPr>
        <w:pStyle w:val="ListParagraph"/>
        <w:jc w:val="both"/>
        <w:rPr>
          <w:rFonts w:cs="Arial"/>
          <w:sz w:val="20"/>
        </w:rPr>
      </w:pPr>
      <w:r>
        <w:rPr>
          <w:rFonts w:cs="Arial"/>
          <w:sz w:val="20"/>
        </w:rPr>
        <w:t>S</w:t>
      </w:r>
      <w:r w:rsidR="00A6320A">
        <w:rPr>
          <w:rFonts w:cs="Arial"/>
          <w:sz w:val="20"/>
        </w:rPr>
        <w:t>taff attitude or behaviour was among the least common reasons for complaints.</w:t>
      </w:r>
    </w:p>
    <w:p w:rsidR="000518E5" w:rsidRDefault="000518E5" w:rsidP="002602E2">
      <w:pPr>
        <w:pStyle w:val="ListParagraph"/>
        <w:jc w:val="both"/>
        <w:rPr>
          <w:rFonts w:cs="Arial"/>
          <w:sz w:val="20"/>
        </w:rPr>
      </w:pPr>
    </w:p>
    <w:p w:rsidR="007D7425" w:rsidRDefault="00A6320A" w:rsidP="007827AF">
      <w:pPr>
        <w:pStyle w:val="ListParagraph"/>
        <w:jc w:val="both"/>
        <w:rPr>
          <w:rFonts w:cs="Arial"/>
          <w:sz w:val="20"/>
        </w:rPr>
      </w:pPr>
      <w:r>
        <w:rPr>
          <w:rFonts w:cs="Arial"/>
          <w:sz w:val="20"/>
        </w:rPr>
        <w:t xml:space="preserve">All who replied were, in general, satisfied with the speed and quality of response to issues raised </w:t>
      </w:r>
      <w:r w:rsidR="00240B73">
        <w:rPr>
          <w:rFonts w:cs="Arial"/>
          <w:sz w:val="20"/>
        </w:rPr>
        <w:t>on behalf of constituents.</w:t>
      </w:r>
    </w:p>
    <w:p w:rsidR="00240B73" w:rsidRDefault="00240B73" w:rsidP="007827AF">
      <w:pPr>
        <w:pStyle w:val="ListParagraph"/>
        <w:jc w:val="both"/>
        <w:rPr>
          <w:rFonts w:cs="Arial"/>
          <w:sz w:val="20"/>
        </w:rPr>
      </w:pPr>
    </w:p>
    <w:p w:rsidR="00E6538A" w:rsidRDefault="00541E16" w:rsidP="00E6538A">
      <w:pPr>
        <w:pStyle w:val="ListParagraph"/>
        <w:ind w:left="709"/>
        <w:jc w:val="both"/>
        <w:rPr>
          <w:rFonts w:cs="Arial"/>
          <w:sz w:val="20"/>
        </w:rPr>
      </w:pPr>
      <w:r>
        <w:rPr>
          <w:rFonts w:cs="Arial"/>
          <w:sz w:val="20"/>
        </w:rPr>
        <w:t xml:space="preserve">It is proposed to </w:t>
      </w:r>
      <w:r w:rsidR="00C16DCA">
        <w:rPr>
          <w:rFonts w:cs="Arial"/>
          <w:sz w:val="20"/>
        </w:rPr>
        <w:t xml:space="preserve">continue to </w:t>
      </w:r>
      <w:r>
        <w:rPr>
          <w:rFonts w:cs="Arial"/>
          <w:sz w:val="20"/>
        </w:rPr>
        <w:t xml:space="preserve">give all members the opportunity to give similar feedback around </w:t>
      </w:r>
      <w:r w:rsidR="00C16DCA">
        <w:rPr>
          <w:rFonts w:cs="Arial"/>
          <w:sz w:val="20"/>
        </w:rPr>
        <w:t xml:space="preserve">April and </w:t>
      </w:r>
      <w:r>
        <w:rPr>
          <w:rFonts w:cs="Arial"/>
          <w:sz w:val="20"/>
        </w:rPr>
        <w:t xml:space="preserve">October </w:t>
      </w:r>
      <w:r w:rsidR="00C16DCA">
        <w:rPr>
          <w:rFonts w:cs="Arial"/>
          <w:sz w:val="20"/>
        </w:rPr>
        <w:t>each</w:t>
      </w:r>
      <w:r>
        <w:rPr>
          <w:rFonts w:cs="Arial"/>
          <w:sz w:val="20"/>
        </w:rPr>
        <w:t xml:space="preserve"> year, with a view to including the results in the bi-annual </w:t>
      </w:r>
      <w:r w:rsidR="00C16DCA">
        <w:rPr>
          <w:rFonts w:cs="Arial"/>
          <w:sz w:val="20"/>
        </w:rPr>
        <w:t>and annual report</w:t>
      </w:r>
      <w:r w:rsidR="00240B73">
        <w:rPr>
          <w:rFonts w:cs="Arial"/>
          <w:sz w:val="20"/>
        </w:rPr>
        <w:t>s</w:t>
      </w:r>
      <w:r w:rsidR="00C16DCA">
        <w:rPr>
          <w:rFonts w:cs="Arial"/>
          <w:sz w:val="20"/>
        </w:rPr>
        <w:t xml:space="preserve"> to Scrutiny Committee.</w:t>
      </w:r>
      <w:r w:rsidR="00E6538A">
        <w:rPr>
          <w:rFonts w:cs="Arial"/>
          <w:sz w:val="20"/>
        </w:rPr>
        <w:br w:type="page"/>
      </w:r>
    </w:p>
    <w:p w:rsidR="00540467" w:rsidRPr="00C411A7" w:rsidRDefault="00672BF0" w:rsidP="00540467">
      <w:pPr>
        <w:jc w:val="both"/>
        <w:rPr>
          <w:rFonts w:cs="Arial"/>
          <w:b/>
          <w:sz w:val="20"/>
        </w:rPr>
      </w:pPr>
      <w:r w:rsidRPr="00C411A7">
        <w:rPr>
          <w:rFonts w:cs="Arial"/>
          <w:b/>
          <w:sz w:val="20"/>
        </w:rPr>
        <w:lastRenderedPageBreak/>
        <w:t>7.</w:t>
      </w:r>
      <w:r w:rsidR="00540467" w:rsidRPr="00C411A7">
        <w:rPr>
          <w:rFonts w:cs="Arial"/>
          <w:b/>
          <w:sz w:val="20"/>
        </w:rPr>
        <w:tab/>
        <w:t>SATISFACTION WITH THE COMPLAINTS HANDLING PROCEDURE</w:t>
      </w:r>
    </w:p>
    <w:p w:rsidR="00540467" w:rsidRPr="00AB1652" w:rsidRDefault="00540467" w:rsidP="00540467">
      <w:pPr>
        <w:ind w:left="720" w:hanging="720"/>
        <w:jc w:val="both"/>
        <w:rPr>
          <w:rFonts w:cs="Arial"/>
          <w:sz w:val="20"/>
        </w:rPr>
      </w:pPr>
    </w:p>
    <w:p w:rsidR="00540467" w:rsidRPr="00AB1652" w:rsidRDefault="00540467" w:rsidP="00540467">
      <w:pPr>
        <w:ind w:left="720" w:hanging="720"/>
        <w:jc w:val="both"/>
        <w:rPr>
          <w:rFonts w:cs="Arial"/>
          <w:sz w:val="20"/>
        </w:rPr>
      </w:pPr>
      <w:r w:rsidRPr="00AB1652">
        <w:rPr>
          <w:rFonts w:cs="Arial"/>
          <w:sz w:val="20"/>
        </w:rPr>
        <w:t>7.1</w:t>
      </w:r>
      <w:r w:rsidRPr="00AB1652">
        <w:rPr>
          <w:rFonts w:cs="Arial"/>
          <w:sz w:val="20"/>
        </w:rPr>
        <w:tab/>
        <w:t xml:space="preserve">The model Complaints Handling Procedure requires that the Council reports on a measure of customer satisfaction with its complaints process.  To achieve this, we issue surveys to </w:t>
      </w:r>
      <w:r w:rsidR="00FE55F1">
        <w:rPr>
          <w:rFonts w:cs="Arial"/>
          <w:sz w:val="20"/>
        </w:rPr>
        <w:t>people</w:t>
      </w:r>
      <w:r w:rsidRPr="00AB1652">
        <w:rPr>
          <w:rFonts w:cs="Arial"/>
          <w:sz w:val="20"/>
        </w:rPr>
        <w:t xml:space="preserve"> who have made a complain</w:t>
      </w:r>
      <w:r w:rsidR="00C40470" w:rsidRPr="00AB1652">
        <w:rPr>
          <w:rFonts w:cs="Arial"/>
          <w:sz w:val="20"/>
        </w:rPr>
        <w:t>t in the previous three months.</w:t>
      </w:r>
    </w:p>
    <w:p w:rsidR="00540467" w:rsidRPr="00AB1652" w:rsidRDefault="00540467" w:rsidP="00540467">
      <w:pPr>
        <w:ind w:left="720" w:hanging="720"/>
        <w:jc w:val="both"/>
        <w:rPr>
          <w:rFonts w:cs="Arial"/>
          <w:sz w:val="20"/>
        </w:rPr>
      </w:pPr>
    </w:p>
    <w:p w:rsidR="00C40470" w:rsidRPr="00AB1652" w:rsidRDefault="00540467" w:rsidP="00540467">
      <w:pPr>
        <w:ind w:left="720" w:hanging="720"/>
        <w:jc w:val="both"/>
        <w:rPr>
          <w:rFonts w:cs="Arial"/>
          <w:sz w:val="20"/>
        </w:rPr>
      </w:pPr>
      <w:r w:rsidRPr="00AB1652">
        <w:rPr>
          <w:rFonts w:cs="Arial"/>
          <w:sz w:val="20"/>
        </w:rPr>
        <w:t>7.2</w:t>
      </w:r>
      <w:r w:rsidRPr="00AB1652">
        <w:rPr>
          <w:rFonts w:cs="Arial"/>
          <w:sz w:val="20"/>
        </w:rPr>
        <w:tab/>
        <w:t>Trends in satisfaction are highlighted in the charts in Appendix Three.  Since the survey sample always consists entirely of people who have made complaints about the Council, the majority of which are not upheld, it is not surprising that satisfac</w:t>
      </w:r>
      <w:r w:rsidR="00A14A50" w:rsidRPr="00AB1652">
        <w:rPr>
          <w:rFonts w:cs="Arial"/>
          <w:sz w:val="20"/>
        </w:rPr>
        <w:t>tion levels are not always high.  Samp</w:t>
      </w:r>
      <w:r w:rsidR="00FE55F1">
        <w:rPr>
          <w:rFonts w:cs="Arial"/>
          <w:sz w:val="20"/>
        </w:rPr>
        <w:t>les each quarter are also small, so caution needs to be exercised in drawing conclusions from one quarter’s results.</w:t>
      </w:r>
    </w:p>
    <w:p w:rsidR="00C40470" w:rsidRPr="00AB1652" w:rsidRDefault="00C40470" w:rsidP="00540467">
      <w:pPr>
        <w:ind w:left="720" w:hanging="720"/>
        <w:jc w:val="both"/>
        <w:rPr>
          <w:rFonts w:cs="Arial"/>
          <w:sz w:val="20"/>
        </w:rPr>
      </w:pPr>
    </w:p>
    <w:p w:rsidR="00B75F0D" w:rsidRPr="00AB1652" w:rsidRDefault="00B75F0D" w:rsidP="00540467">
      <w:pPr>
        <w:ind w:left="720" w:hanging="720"/>
        <w:jc w:val="both"/>
        <w:rPr>
          <w:rFonts w:cs="Arial"/>
          <w:sz w:val="20"/>
        </w:rPr>
      </w:pPr>
      <w:r w:rsidRPr="00AB1652">
        <w:rPr>
          <w:rFonts w:cs="Arial"/>
          <w:sz w:val="20"/>
        </w:rPr>
        <w:t>7.3</w:t>
      </w:r>
      <w:r w:rsidRPr="00AB1652">
        <w:rPr>
          <w:rFonts w:cs="Arial"/>
          <w:sz w:val="20"/>
        </w:rPr>
        <w:tab/>
        <w:t>Points to note</w:t>
      </w:r>
      <w:r w:rsidR="00A14A50" w:rsidRPr="00AB1652">
        <w:rPr>
          <w:rFonts w:cs="Arial"/>
          <w:sz w:val="20"/>
        </w:rPr>
        <w:t xml:space="preserve"> </w:t>
      </w:r>
      <w:r w:rsidR="00333A7B" w:rsidRPr="00AB1652">
        <w:rPr>
          <w:rFonts w:cs="Arial"/>
          <w:sz w:val="20"/>
        </w:rPr>
        <w:t>from the survey trends include the</w:t>
      </w:r>
      <w:r w:rsidR="00A14A50" w:rsidRPr="00AB1652">
        <w:rPr>
          <w:rFonts w:cs="Arial"/>
          <w:sz w:val="20"/>
        </w:rPr>
        <w:t xml:space="preserve"> need to continue to reinforce the importance of:</w:t>
      </w:r>
    </w:p>
    <w:p w:rsidR="00B75F0D" w:rsidRPr="00AB1652" w:rsidRDefault="00B75F0D" w:rsidP="00540467">
      <w:pPr>
        <w:ind w:left="720" w:hanging="720"/>
        <w:jc w:val="both"/>
        <w:rPr>
          <w:rFonts w:cs="Arial"/>
          <w:sz w:val="20"/>
        </w:rPr>
      </w:pPr>
    </w:p>
    <w:p w:rsidR="00B75F0D" w:rsidRPr="00AB1652" w:rsidRDefault="00A14A50" w:rsidP="00303BF7">
      <w:pPr>
        <w:pStyle w:val="ListParagraph"/>
        <w:numPr>
          <w:ilvl w:val="0"/>
          <w:numId w:val="17"/>
        </w:numPr>
        <w:ind w:left="1276" w:hanging="556"/>
        <w:jc w:val="both"/>
        <w:rPr>
          <w:rFonts w:cs="Arial"/>
          <w:sz w:val="20"/>
        </w:rPr>
      </w:pPr>
      <w:r w:rsidRPr="00AB1652">
        <w:rPr>
          <w:rFonts w:cs="Arial"/>
          <w:sz w:val="20"/>
        </w:rPr>
        <w:t>responding quickly to complaints, and keeping complainants inf</w:t>
      </w:r>
      <w:r w:rsidR="00C40470" w:rsidRPr="00AB1652">
        <w:rPr>
          <w:rFonts w:cs="Arial"/>
          <w:sz w:val="20"/>
        </w:rPr>
        <w:t>ormed when that is not possible.</w:t>
      </w:r>
    </w:p>
    <w:p w:rsidR="00B75F0D" w:rsidRPr="00AB1652" w:rsidRDefault="00B75F0D" w:rsidP="00303BF7">
      <w:pPr>
        <w:pStyle w:val="ListParagraph"/>
        <w:ind w:left="1276" w:hanging="556"/>
        <w:jc w:val="both"/>
        <w:rPr>
          <w:rFonts w:cs="Arial"/>
          <w:sz w:val="20"/>
        </w:rPr>
      </w:pPr>
    </w:p>
    <w:p w:rsidR="00B75F0D" w:rsidRPr="00AB1652" w:rsidRDefault="00A14A50" w:rsidP="00303BF7">
      <w:pPr>
        <w:pStyle w:val="ListParagraph"/>
        <w:numPr>
          <w:ilvl w:val="0"/>
          <w:numId w:val="17"/>
        </w:numPr>
        <w:ind w:left="1276" w:hanging="556"/>
        <w:jc w:val="both"/>
        <w:rPr>
          <w:rFonts w:cs="Arial"/>
          <w:sz w:val="20"/>
        </w:rPr>
      </w:pPr>
      <w:r w:rsidRPr="00AB1652">
        <w:rPr>
          <w:rFonts w:cs="Arial"/>
          <w:sz w:val="20"/>
        </w:rPr>
        <w:t>giving complainants information and explanations that are clear and easy to understand</w:t>
      </w:r>
      <w:r w:rsidR="00DC7C18">
        <w:rPr>
          <w:rFonts w:cs="Arial"/>
          <w:sz w:val="20"/>
        </w:rPr>
        <w:t>, and assuring them that their complaint has been taken seriously even if they didn't get the outcome they wanted.</w:t>
      </w:r>
    </w:p>
    <w:p w:rsidR="00B75F0D" w:rsidRPr="00AB1652" w:rsidRDefault="00B75F0D" w:rsidP="003D2E54">
      <w:pPr>
        <w:pStyle w:val="ListParagraph"/>
        <w:ind w:left="0"/>
        <w:rPr>
          <w:rFonts w:cs="Arial"/>
          <w:sz w:val="20"/>
        </w:rPr>
      </w:pPr>
    </w:p>
    <w:p w:rsidR="00540467" w:rsidRPr="00AB1652" w:rsidRDefault="00B75F0D" w:rsidP="00540467">
      <w:pPr>
        <w:ind w:left="720" w:hanging="720"/>
        <w:jc w:val="both"/>
        <w:rPr>
          <w:rFonts w:cs="Arial"/>
          <w:sz w:val="20"/>
        </w:rPr>
      </w:pPr>
      <w:r w:rsidRPr="00AB1652">
        <w:rPr>
          <w:rFonts w:cs="Arial"/>
          <w:sz w:val="20"/>
        </w:rPr>
        <w:t>7.4</w:t>
      </w:r>
      <w:r w:rsidRPr="00AB1652">
        <w:rPr>
          <w:rFonts w:cs="Arial"/>
          <w:sz w:val="20"/>
        </w:rPr>
        <w:tab/>
      </w:r>
      <w:r w:rsidR="00540467" w:rsidRPr="00AB1652">
        <w:rPr>
          <w:rFonts w:cs="Arial"/>
          <w:sz w:val="20"/>
        </w:rPr>
        <w:t>It is recognised to be very difficult to get complainants to comment objectively on the complaints process, as distinct from the outcome, where their complaint was not upheld or did not result in the action they wanted.  Nevertheless, our aim is to increase the % of complainants who acknowledge that the process of dealing with their complaint was satisfactory, even if they did not get the outcome they desired.</w:t>
      </w:r>
    </w:p>
    <w:p w:rsidR="00540467" w:rsidRPr="00AB1652" w:rsidRDefault="00540467" w:rsidP="00BD6F79">
      <w:pPr>
        <w:ind w:left="720" w:hanging="720"/>
        <w:jc w:val="both"/>
        <w:rPr>
          <w:rFonts w:cs="Arial"/>
          <w:sz w:val="20"/>
        </w:rPr>
      </w:pPr>
    </w:p>
    <w:p w:rsidR="00540467" w:rsidRPr="00AB1652" w:rsidRDefault="00B75F0D" w:rsidP="00540467">
      <w:pPr>
        <w:ind w:left="720" w:hanging="720"/>
        <w:jc w:val="both"/>
        <w:rPr>
          <w:rFonts w:cs="Arial"/>
          <w:sz w:val="20"/>
        </w:rPr>
      </w:pPr>
      <w:r w:rsidRPr="00AB1652">
        <w:rPr>
          <w:rFonts w:cs="Arial"/>
          <w:sz w:val="20"/>
        </w:rPr>
        <w:t>7.5</w:t>
      </w:r>
      <w:r w:rsidR="00540467" w:rsidRPr="00AB1652">
        <w:rPr>
          <w:rFonts w:cs="Arial"/>
          <w:sz w:val="20"/>
        </w:rPr>
        <w:tab/>
        <w:t>Performance will continue to be monitored and messages about good complaints handling will continue to be reinforced.  Overall trends since the Council adopted the model Complaint</w:t>
      </w:r>
      <w:r w:rsidR="00AD7C00" w:rsidRPr="00AB1652">
        <w:rPr>
          <w:rFonts w:cs="Arial"/>
          <w:sz w:val="20"/>
        </w:rPr>
        <w:t>s</w:t>
      </w:r>
      <w:r w:rsidR="00540467" w:rsidRPr="00AB1652">
        <w:rPr>
          <w:rFonts w:cs="Arial"/>
          <w:sz w:val="20"/>
        </w:rPr>
        <w:t xml:space="preserve"> Handling Procedure are positive, but those responding to the survey still indicate high levels of dissatisfaction with certain aspects of how we have dealt with their complaints so e</w:t>
      </w:r>
      <w:r w:rsidR="00B064C4" w:rsidRPr="00AB1652">
        <w:rPr>
          <w:rFonts w:cs="Arial"/>
          <w:sz w:val="20"/>
        </w:rPr>
        <w:t>fforts to improve will continue.  It should be noted, however, that overall levels of customer satisfaction with contact with the Council remain high, as evidenced by the results of the annual citizen survey</w:t>
      </w:r>
      <w:r w:rsidR="00C40470" w:rsidRPr="00AB1652">
        <w:rPr>
          <w:rFonts w:cs="Arial"/>
          <w:sz w:val="20"/>
        </w:rPr>
        <w:t>.</w:t>
      </w:r>
      <w:r w:rsidR="00B064C4" w:rsidRPr="00AB1652">
        <w:rPr>
          <w:rFonts w:cs="Arial"/>
          <w:sz w:val="20"/>
        </w:rPr>
        <w:t xml:space="preserve">  In particular, </w:t>
      </w:r>
      <w:r w:rsidR="00FE55F1">
        <w:rPr>
          <w:rFonts w:cs="Arial"/>
          <w:sz w:val="20"/>
        </w:rPr>
        <w:t xml:space="preserve">the </w:t>
      </w:r>
      <w:r w:rsidR="00B064C4" w:rsidRPr="00AB1652">
        <w:rPr>
          <w:rFonts w:cs="Arial"/>
          <w:sz w:val="20"/>
        </w:rPr>
        <w:t>survey continues to show high satisfaction with the friendliness, courtesy and helpfulness of employees.</w:t>
      </w:r>
    </w:p>
    <w:p w:rsidR="00540467" w:rsidRDefault="00540467" w:rsidP="00540467">
      <w:pPr>
        <w:ind w:left="720" w:hanging="720"/>
        <w:jc w:val="both"/>
        <w:rPr>
          <w:rFonts w:cs="Arial"/>
          <w:sz w:val="20"/>
        </w:rPr>
      </w:pPr>
    </w:p>
    <w:p w:rsidR="00C16DCA" w:rsidRDefault="00C16DCA" w:rsidP="00540467">
      <w:pPr>
        <w:ind w:left="720" w:hanging="720"/>
        <w:jc w:val="both"/>
        <w:rPr>
          <w:rFonts w:cs="Arial"/>
          <w:sz w:val="20"/>
        </w:rPr>
      </w:pPr>
    </w:p>
    <w:p w:rsidR="00C16DCA" w:rsidRDefault="00C16DCA" w:rsidP="00540467">
      <w:pPr>
        <w:ind w:left="720" w:hanging="720"/>
        <w:jc w:val="both"/>
        <w:rPr>
          <w:rFonts w:cs="Arial"/>
          <w:b/>
          <w:sz w:val="20"/>
        </w:rPr>
      </w:pPr>
      <w:r w:rsidRPr="0069414B">
        <w:rPr>
          <w:rFonts w:cs="Arial"/>
          <w:b/>
          <w:sz w:val="20"/>
        </w:rPr>
        <w:t>8.</w:t>
      </w:r>
      <w:r>
        <w:rPr>
          <w:rFonts w:cs="Arial"/>
          <w:sz w:val="20"/>
        </w:rPr>
        <w:tab/>
      </w:r>
      <w:r>
        <w:rPr>
          <w:rFonts w:cs="Arial"/>
          <w:b/>
          <w:sz w:val="20"/>
        </w:rPr>
        <w:t>COMPLIMENTS</w:t>
      </w:r>
    </w:p>
    <w:p w:rsidR="00C16DCA" w:rsidRPr="0069414B" w:rsidRDefault="00C16DCA" w:rsidP="00540467">
      <w:pPr>
        <w:ind w:left="720" w:hanging="720"/>
        <w:jc w:val="both"/>
        <w:rPr>
          <w:rFonts w:cs="Arial"/>
          <w:sz w:val="20"/>
        </w:rPr>
      </w:pPr>
    </w:p>
    <w:p w:rsidR="00C16DCA" w:rsidRDefault="0069414B" w:rsidP="00540467">
      <w:pPr>
        <w:ind w:left="720" w:hanging="720"/>
        <w:jc w:val="both"/>
        <w:rPr>
          <w:rFonts w:cs="Arial"/>
          <w:sz w:val="20"/>
        </w:rPr>
      </w:pPr>
      <w:r w:rsidRPr="0069414B">
        <w:rPr>
          <w:rFonts w:cs="Arial"/>
          <w:sz w:val="20"/>
        </w:rPr>
        <w:t>8.1</w:t>
      </w:r>
      <w:r w:rsidRPr="0069414B">
        <w:rPr>
          <w:rFonts w:cs="Arial"/>
          <w:sz w:val="20"/>
        </w:rPr>
        <w:tab/>
      </w:r>
      <w:r>
        <w:rPr>
          <w:rFonts w:cs="Arial"/>
          <w:sz w:val="20"/>
        </w:rPr>
        <w:t xml:space="preserve">During discussion on </w:t>
      </w:r>
      <w:r w:rsidR="00953655">
        <w:rPr>
          <w:rFonts w:cs="Arial"/>
          <w:sz w:val="20"/>
        </w:rPr>
        <w:t>2017's annual</w:t>
      </w:r>
      <w:r>
        <w:rPr>
          <w:rFonts w:cs="Arial"/>
          <w:sz w:val="20"/>
        </w:rPr>
        <w:t xml:space="preserve"> report, members suggested it would be useful to include information on compliments received.</w:t>
      </w:r>
    </w:p>
    <w:p w:rsidR="0069414B" w:rsidRDefault="0069414B" w:rsidP="00540467">
      <w:pPr>
        <w:ind w:left="720" w:hanging="720"/>
        <w:jc w:val="both"/>
        <w:rPr>
          <w:rFonts w:cs="Arial"/>
          <w:sz w:val="20"/>
        </w:rPr>
      </w:pPr>
    </w:p>
    <w:p w:rsidR="0069414B" w:rsidRDefault="0069414B" w:rsidP="00540467">
      <w:pPr>
        <w:ind w:left="720" w:hanging="720"/>
        <w:jc w:val="both"/>
        <w:rPr>
          <w:rFonts w:cs="Arial"/>
          <w:sz w:val="20"/>
        </w:rPr>
      </w:pPr>
      <w:r>
        <w:rPr>
          <w:rFonts w:cs="Arial"/>
          <w:sz w:val="20"/>
        </w:rPr>
        <w:t>8.2</w:t>
      </w:r>
      <w:r>
        <w:rPr>
          <w:rFonts w:cs="Arial"/>
          <w:sz w:val="20"/>
        </w:rPr>
        <w:tab/>
      </w:r>
      <w:r w:rsidR="008A28DC">
        <w:rPr>
          <w:rFonts w:cs="Arial"/>
          <w:sz w:val="20"/>
        </w:rPr>
        <w:t>T</w:t>
      </w:r>
      <w:r>
        <w:rPr>
          <w:rFonts w:cs="Arial"/>
          <w:sz w:val="20"/>
        </w:rPr>
        <w:t xml:space="preserve">here is now a facility to record compliments on the </w:t>
      </w:r>
      <w:r w:rsidR="00E6538A">
        <w:rPr>
          <w:rFonts w:cs="Arial"/>
          <w:sz w:val="20"/>
        </w:rPr>
        <w:t xml:space="preserve">'tell us about good service' link on </w:t>
      </w:r>
      <w:r w:rsidR="004052F1">
        <w:rPr>
          <w:rFonts w:cs="Arial"/>
          <w:sz w:val="20"/>
        </w:rPr>
        <w:t xml:space="preserve">the </w:t>
      </w:r>
      <w:r>
        <w:rPr>
          <w:rFonts w:cs="Arial"/>
          <w:sz w:val="20"/>
        </w:rPr>
        <w:t>Council's website</w:t>
      </w:r>
      <w:r w:rsidR="00E6538A">
        <w:rPr>
          <w:rFonts w:cs="Arial"/>
          <w:sz w:val="20"/>
        </w:rPr>
        <w:t>,</w:t>
      </w:r>
      <w:r>
        <w:rPr>
          <w:rFonts w:cs="Arial"/>
          <w:sz w:val="20"/>
        </w:rPr>
        <w:t xml:space="preserve"> </w:t>
      </w:r>
      <w:r w:rsidR="00953655">
        <w:rPr>
          <w:rFonts w:cs="Arial"/>
          <w:sz w:val="20"/>
        </w:rPr>
        <w:t xml:space="preserve">and </w:t>
      </w:r>
      <w:r>
        <w:rPr>
          <w:rFonts w:cs="Arial"/>
          <w:sz w:val="20"/>
        </w:rPr>
        <w:t xml:space="preserve">below are examples </w:t>
      </w:r>
      <w:r w:rsidR="00E6538A">
        <w:rPr>
          <w:rFonts w:cs="Arial"/>
          <w:sz w:val="20"/>
        </w:rPr>
        <w:t>from over 50</w:t>
      </w:r>
      <w:r w:rsidR="008A28DC">
        <w:rPr>
          <w:rFonts w:cs="Arial"/>
          <w:sz w:val="20"/>
        </w:rPr>
        <w:t xml:space="preserve"> comments recorded</w:t>
      </w:r>
      <w:r w:rsidR="00953655">
        <w:rPr>
          <w:rFonts w:cs="Arial"/>
          <w:sz w:val="20"/>
        </w:rPr>
        <w:t xml:space="preserve"> during 2018/2019</w:t>
      </w:r>
      <w:r w:rsidR="00AF2F46">
        <w:rPr>
          <w:rFonts w:cs="Arial"/>
          <w:sz w:val="20"/>
        </w:rPr>
        <w:t xml:space="preserve">.  </w:t>
      </w:r>
      <w:r w:rsidR="00E6538A">
        <w:rPr>
          <w:rFonts w:cs="Arial"/>
          <w:sz w:val="20"/>
        </w:rPr>
        <w:t>Some</w:t>
      </w:r>
      <w:r w:rsidR="00AF2F46">
        <w:rPr>
          <w:rFonts w:cs="Arial"/>
          <w:sz w:val="20"/>
        </w:rPr>
        <w:t xml:space="preserve"> of these have previously been reported to Committee as part of the six-monthly update considered in December 2018:</w:t>
      </w:r>
    </w:p>
    <w:p w:rsidR="00953655" w:rsidRDefault="00953655">
      <w:pPr>
        <w:rPr>
          <w:rFonts w:cs="Arial"/>
          <w:sz w:val="20"/>
        </w:rPr>
      </w:pPr>
    </w:p>
    <w:p w:rsidR="00473DB1" w:rsidRPr="001D1286" w:rsidRDefault="00473DB1" w:rsidP="00473DB1">
      <w:pPr>
        <w:pStyle w:val="ListParagraph"/>
        <w:numPr>
          <w:ilvl w:val="0"/>
          <w:numId w:val="28"/>
        </w:numPr>
        <w:ind w:hanging="720"/>
        <w:jc w:val="both"/>
        <w:rPr>
          <w:sz w:val="20"/>
        </w:rPr>
      </w:pPr>
      <w:r w:rsidRPr="001D1286">
        <w:rPr>
          <w:sz w:val="20"/>
        </w:rPr>
        <w:t>Reinstatement of white line at our driveway after road resurfacing was completed very promptly.</w:t>
      </w:r>
    </w:p>
    <w:p w:rsidR="00473DB1" w:rsidRDefault="00473DB1" w:rsidP="00473DB1">
      <w:pPr>
        <w:ind w:left="720" w:hanging="720"/>
        <w:jc w:val="both"/>
        <w:rPr>
          <w:sz w:val="20"/>
        </w:rPr>
      </w:pPr>
    </w:p>
    <w:p w:rsidR="00473DB1" w:rsidRPr="00B10D08" w:rsidRDefault="00473DB1" w:rsidP="00473DB1">
      <w:pPr>
        <w:pStyle w:val="ListParagraph"/>
        <w:numPr>
          <w:ilvl w:val="0"/>
          <w:numId w:val="28"/>
        </w:numPr>
        <w:ind w:hanging="720"/>
        <w:jc w:val="both"/>
        <w:rPr>
          <w:sz w:val="20"/>
        </w:rPr>
      </w:pPr>
      <w:r>
        <w:rPr>
          <w:sz w:val="20"/>
        </w:rPr>
        <w:t>C</w:t>
      </w:r>
      <w:r w:rsidRPr="00B10D08">
        <w:rPr>
          <w:sz w:val="20"/>
        </w:rPr>
        <w:t>ompliments about the drivers of the 'Blether Bus'.</w:t>
      </w:r>
    </w:p>
    <w:p w:rsidR="00473DB1" w:rsidRDefault="00473DB1" w:rsidP="00473DB1">
      <w:pPr>
        <w:ind w:left="720" w:hanging="720"/>
        <w:jc w:val="both"/>
        <w:rPr>
          <w:sz w:val="20"/>
        </w:rPr>
      </w:pPr>
    </w:p>
    <w:p w:rsidR="00473DB1" w:rsidRPr="006253DD" w:rsidRDefault="00473DB1" w:rsidP="00473DB1">
      <w:pPr>
        <w:pStyle w:val="ListParagraph"/>
        <w:numPr>
          <w:ilvl w:val="0"/>
          <w:numId w:val="28"/>
        </w:numPr>
        <w:ind w:hanging="720"/>
        <w:jc w:val="both"/>
        <w:rPr>
          <w:sz w:val="20"/>
        </w:rPr>
      </w:pPr>
      <w:r w:rsidRPr="006253DD">
        <w:rPr>
          <w:sz w:val="20"/>
        </w:rPr>
        <w:t>I compliment your road repair department for the very speedy and efficient way they dealt with the pothole reported by me.  Well done.</w:t>
      </w:r>
    </w:p>
    <w:p w:rsidR="00473DB1" w:rsidRDefault="00473DB1" w:rsidP="00473DB1">
      <w:pPr>
        <w:ind w:left="720" w:hanging="720"/>
        <w:jc w:val="both"/>
        <w:rPr>
          <w:sz w:val="20"/>
        </w:rPr>
      </w:pPr>
    </w:p>
    <w:p w:rsidR="00473DB1" w:rsidRPr="001D1286" w:rsidRDefault="00473DB1" w:rsidP="00473DB1">
      <w:pPr>
        <w:pStyle w:val="ListParagraph"/>
        <w:numPr>
          <w:ilvl w:val="0"/>
          <w:numId w:val="28"/>
        </w:numPr>
        <w:ind w:hanging="720"/>
        <w:jc w:val="both"/>
        <w:rPr>
          <w:sz w:val="20"/>
        </w:rPr>
      </w:pPr>
      <w:r w:rsidRPr="001D1286">
        <w:rPr>
          <w:sz w:val="20"/>
        </w:rPr>
        <w:t>Pass on my sincere thanks and appreciation to one of your staff dealing with benefit payments - was very helpful, understanding, intelligent and kind.  Answered my questions and gave me a clear understanding of what she had done and what would happen next.</w:t>
      </w:r>
    </w:p>
    <w:p w:rsidR="00473DB1" w:rsidRDefault="00473DB1" w:rsidP="00473DB1">
      <w:pPr>
        <w:ind w:left="720" w:hanging="720"/>
        <w:jc w:val="both"/>
        <w:rPr>
          <w:sz w:val="20"/>
        </w:rPr>
      </w:pPr>
    </w:p>
    <w:p w:rsidR="00473DB1" w:rsidRPr="00B10D08" w:rsidRDefault="00473DB1" w:rsidP="00473DB1">
      <w:pPr>
        <w:pStyle w:val="ListParagraph"/>
        <w:numPr>
          <w:ilvl w:val="0"/>
          <w:numId w:val="28"/>
        </w:numPr>
        <w:ind w:hanging="720"/>
        <w:jc w:val="both"/>
        <w:rPr>
          <w:sz w:val="20"/>
        </w:rPr>
      </w:pPr>
      <w:r w:rsidRPr="00B10D08">
        <w:rPr>
          <w:sz w:val="20"/>
        </w:rPr>
        <w:t>Just been to parents and carers meeting regarding Braeview.  Would like to say how amazed and positive I left this meeting.  The work put in by the Council, teachers and all involved blows me away.  The head teacher is so passionate about the school and her kids.</w:t>
      </w:r>
    </w:p>
    <w:p w:rsidR="00473DB1" w:rsidRDefault="00473DB1" w:rsidP="00473DB1">
      <w:pPr>
        <w:ind w:left="720" w:hanging="720"/>
        <w:jc w:val="both"/>
        <w:rPr>
          <w:sz w:val="20"/>
        </w:rPr>
      </w:pPr>
    </w:p>
    <w:p w:rsidR="00473DB1" w:rsidRPr="00C32993" w:rsidRDefault="00473DB1" w:rsidP="00473DB1">
      <w:pPr>
        <w:pStyle w:val="ListParagraph"/>
        <w:numPr>
          <w:ilvl w:val="0"/>
          <w:numId w:val="28"/>
        </w:numPr>
        <w:ind w:hanging="720"/>
        <w:jc w:val="both"/>
        <w:rPr>
          <w:sz w:val="20"/>
        </w:rPr>
      </w:pPr>
      <w:r w:rsidRPr="00C32993">
        <w:rPr>
          <w:sz w:val="20"/>
        </w:rPr>
        <w:lastRenderedPageBreak/>
        <w:t>The quality of care and expertise shown by the Enablement Team in Corso Street is amazing.  Please pass on my thanks and praise for their efficiency, expertise, cheerfulness and tireless dedication.  They are all, without exception, a credit to you.</w:t>
      </w:r>
    </w:p>
    <w:p w:rsidR="00473DB1" w:rsidRDefault="00473DB1" w:rsidP="00473DB1">
      <w:pPr>
        <w:rPr>
          <w:sz w:val="20"/>
        </w:rPr>
      </w:pPr>
    </w:p>
    <w:p w:rsidR="001E2A26" w:rsidRDefault="001E2A26" w:rsidP="001D1286">
      <w:pPr>
        <w:pStyle w:val="ListParagraph"/>
        <w:numPr>
          <w:ilvl w:val="0"/>
          <w:numId w:val="28"/>
        </w:numPr>
        <w:ind w:hanging="720"/>
        <w:jc w:val="both"/>
        <w:rPr>
          <w:sz w:val="20"/>
        </w:rPr>
      </w:pPr>
      <w:r>
        <w:rPr>
          <w:sz w:val="20"/>
        </w:rPr>
        <w:t>Many thanks for very prompt clear up of the dumped rubbish.  Greatly appreciated.</w:t>
      </w:r>
    </w:p>
    <w:p w:rsidR="001E2A26" w:rsidRDefault="001E2A26" w:rsidP="001D1286">
      <w:pPr>
        <w:jc w:val="both"/>
        <w:rPr>
          <w:sz w:val="20"/>
        </w:rPr>
      </w:pPr>
    </w:p>
    <w:p w:rsidR="001E2A26" w:rsidRPr="001D1286" w:rsidRDefault="001E2A26" w:rsidP="001D1286">
      <w:pPr>
        <w:pStyle w:val="ListParagraph"/>
        <w:numPr>
          <w:ilvl w:val="0"/>
          <w:numId w:val="28"/>
        </w:numPr>
        <w:ind w:hanging="720"/>
        <w:jc w:val="both"/>
        <w:rPr>
          <w:sz w:val="20"/>
        </w:rPr>
      </w:pPr>
      <w:r w:rsidRPr="001D1286">
        <w:rPr>
          <w:sz w:val="20"/>
        </w:rPr>
        <w:t>Would lik</w:t>
      </w:r>
      <w:r w:rsidR="001D1286">
        <w:rPr>
          <w:sz w:val="20"/>
        </w:rPr>
        <w:t>e</w:t>
      </w:r>
      <w:r w:rsidRPr="001D1286">
        <w:rPr>
          <w:sz w:val="20"/>
        </w:rPr>
        <w:t xml:space="preserve"> to give a compliment to the bin man in our local area - such a happy person, always polite and says </w:t>
      </w:r>
      <w:r w:rsidR="001D1286">
        <w:rPr>
          <w:sz w:val="20"/>
        </w:rPr>
        <w:t>"</w:t>
      </w:r>
      <w:r w:rsidRPr="001D1286">
        <w:rPr>
          <w:sz w:val="20"/>
        </w:rPr>
        <w:t>hi</w:t>
      </w:r>
      <w:r w:rsidR="001D1286">
        <w:rPr>
          <w:sz w:val="20"/>
        </w:rPr>
        <w:t>"</w:t>
      </w:r>
      <w:r w:rsidRPr="001D1286">
        <w:rPr>
          <w:sz w:val="20"/>
        </w:rPr>
        <w:t>, really puts a smile on our face.</w:t>
      </w:r>
    </w:p>
    <w:p w:rsidR="001E2A26" w:rsidRDefault="001E2A26" w:rsidP="001D1286">
      <w:pPr>
        <w:ind w:left="720" w:hanging="720"/>
        <w:jc w:val="both"/>
        <w:rPr>
          <w:sz w:val="20"/>
        </w:rPr>
      </w:pPr>
    </w:p>
    <w:p w:rsidR="001E2A26" w:rsidRDefault="001E2A26" w:rsidP="001D1286">
      <w:pPr>
        <w:pStyle w:val="ListParagraph"/>
        <w:numPr>
          <w:ilvl w:val="0"/>
          <w:numId w:val="28"/>
        </w:numPr>
        <w:ind w:hanging="720"/>
        <w:jc w:val="both"/>
        <w:rPr>
          <w:sz w:val="20"/>
        </w:rPr>
      </w:pPr>
      <w:r w:rsidRPr="001D1286">
        <w:rPr>
          <w:sz w:val="20"/>
        </w:rPr>
        <w:t>Would like to commend one of your gardeners for his honesty.  Lost my purse until the gardener was cutting the drying green and found it in the grass.  Very grateful.  My faith in humanity has been restored.</w:t>
      </w:r>
    </w:p>
    <w:p w:rsidR="00C3460D" w:rsidRDefault="00C3460D" w:rsidP="00C3460D">
      <w:pPr>
        <w:jc w:val="both"/>
        <w:rPr>
          <w:sz w:val="20"/>
        </w:rPr>
      </w:pPr>
    </w:p>
    <w:p w:rsidR="00C3460D" w:rsidRPr="001D1286" w:rsidRDefault="00C3460D" w:rsidP="00C3460D">
      <w:pPr>
        <w:pStyle w:val="ListParagraph"/>
        <w:numPr>
          <w:ilvl w:val="0"/>
          <w:numId w:val="28"/>
        </w:numPr>
        <w:ind w:hanging="720"/>
        <w:jc w:val="both"/>
        <w:rPr>
          <w:sz w:val="20"/>
        </w:rPr>
      </w:pPr>
      <w:r w:rsidRPr="001D1286">
        <w:rPr>
          <w:sz w:val="20"/>
        </w:rPr>
        <w:t>The bin men on this round are brilliant.  My son loves lorries.  He waves and shouts at all the blue bin men actually take him on.  They wave and 'thumbs up' to him every time.</w:t>
      </w:r>
    </w:p>
    <w:p w:rsidR="00C3460D" w:rsidRDefault="00C3460D" w:rsidP="00C3460D">
      <w:pPr>
        <w:ind w:left="720" w:hanging="720"/>
        <w:jc w:val="both"/>
        <w:rPr>
          <w:sz w:val="20"/>
        </w:rPr>
      </w:pPr>
    </w:p>
    <w:p w:rsidR="00C3460D" w:rsidRPr="001D1286" w:rsidRDefault="00C3460D" w:rsidP="00C3460D">
      <w:pPr>
        <w:pStyle w:val="ListParagraph"/>
        <w:numPr>
          <w:ilvl w:val="0"/>
          <w:numId w:val="28"/>
        </w:numPr>
        <w:ind w:hanging="720"/>
        <w:jc w:val="both"/>
        <w:rPr>
          <w:sz w:val="20"/>
        </w:rPr>
      </w:pPr>
      <w:r w:rsidRPr="001D1286">
        <w:rPr>
          <w:sz w:val="20"/>
        </w:rPr>
        <w:t>Staff collecting the bins yesterday morning were polite, friendly and even took a second to wave to my baby son who is obsessed with bin lorries.</w:t>
      </w:r>
    </w:p>
    <w:p w:rsidR="00C3460D" w:rsidRDefault="00C3460D" w:rsidP="00C3460D">
      <w:pPr>
        <w:ind w:left="720" w:hanging="720"/>
        <w:jc w:val="both"/>
        <w:rPr>
          <w:sz w:val="20"/>
        </w:rPr>
      </w:pPr>
    </w:p>
    <w:p w:rsidR="00C3460D" w:rsidRPr="001D1286" w:rsidRDefault="00C3460D" w:rsidP="00C3460D">
      <w:pPr>
        <w:pStyle w:val="ListParagraph"/>
        <w:numPr>
          <w:ilvl w:val="0"/>
          <w:numId w:val="28"/>
        </w:numPr>
        <w:ind w:hanging="720"/>
        <w:jc w:val="both"/>
        <w:rPr>
          <w:sz w:val="20"/>
        </w:rPr>
      </w:pPr>
      <w:r w:rsidRPr="001D1286">
        <w:rPr>
          <w:sz w:val="20"/>
        </w:rPr>
        <w:t>Very pleased with new bin collection routine.  I now recycle much more plastic and, as a result, very rarely fill my landfill bin.</w:t>
      </w:r>
    </w:p>
    <w:p w:rsidR="00C3460D" w:rsidRDefault="00C3460D" w:rsidP="00C3460D">
      <w:pPr>
        <w:rPr>
          <w:sz w:val="20"/>
        </w:rPr>
      </w:pPr>
    </w:p>
    <w:p w:rsidR="00C3460D" w:rsidRPr="00B10D08" w:rsidRDefault="00C3460D" w:rsidP="00C3460D">
      <w:pPr>
        <w:pStyle w:val="ListParagraph"/>
        <w:numPr>
          <w:ilvl w:val="0"/>
          <w:numId w:val="28"/>
        </w:numPr>
        <w:ind w:hanging="720"/>
        <w:jc w:val="both"/>
        <w:rPr>
          <w:sz w:val="20"/>
        </w:rPr>
      </w:pPr>
      <w:r w:rsidRPr="00B10D08">
        <w:rPr>
          <w:sz w:val="20"/>
        </w:rPr>
        <w:t>Quick response in having bin emptied - a big thank you.</w:t>
      </w:r>
    </w:p>
    <w:p w:rsidR="00C3460D" w:rsidRDefault="00C3460D" w:rsidP="00C3460D">
      <w:pPr>
        <w:ind w:left="720" w:hanging="720"/>
        <w:jc w:val="both"/>
        <w:rPr>
          <w:sz w:val="20"/>
        </w:rPr>
      </w:pPr>
    </w:p>
    <w:p w:rsidR="00C3460D" w:rsidRPr="00B10D08" w:rsidRDefault="00C3460D" w:rsidP="00C3460D">
      <w:pPr>
        <w:pStyle w:val="ListParagraph"/>
        <w:numPr>
          <w:ilvl w:val="0"/>
          <w:numId w:val="28"/>
        </w:numPr>
        <w:ind w:hanging="720"/>
        <w:jc w:val="both"/>
        <w:rPr>
          <w:sz w:val="20"/>
        </w:rPr>
      </w:pPr>
      <w:r w:rsidRPr="00B10D08">
        <w:rPr>
          <w:sz w:val="20"/>
        </w:rPr>
        <w:t>Would like to thank staff for their assistance in locating the grave of my grandparents.  They were extremely helpful and professional</w:t>
      </w:r>
      <w:r>
        <w:rPr>
          <w:sz w:val="20"/>
        </w:rPr>
        <w:t xml:space="preserve"> which I</w:t>
      </w:r>
      <w:r w:rsidRPr="00B10D08">
        <w:rPr>
          <w:sz w:val="20"/>
        </w:rPr>
        <w:t xml:space="preserve"> very much appreciated.</w:t>
      </w:r>
    </w:p>
    <w:p w:rsidR="00C3460D" w:rsidRDefault="00C3460D" w:rsidP="00C3460D">
      <w:pPr>
        <w:ind w:left="720" w:hanging="720"/>
        <w:jc w:val="both"/>
        <w:rPr>
          <w:sz w:val="20"/>
        </w:rPr>
      </w:pPr>
    </w:p>
    <w:p w:rsidR="00C3460D" w:rsidRPr="00B10D08" w:rsidRDefault="00C3460D" w:rsidP="00C3460D">
      <w:pPr>
        <w:pStyle w:val="ListParagraph"/>
        <w:numPr>
          <w:ilvl w:val="0"/>
          <w:numId w:val="28"/>
        </w:numPr>
        <w:ind w:hanging="720"/>
        <w:jc w:val="both"/>
        <w:rPr>
          <w:sz w:val="20"/>
        </w:rPr>
      </w:pPr>
      <w:r w:rsidRPr="00B10D08">
        <w:rPr>
          <w:sz w:val="20"/>
        </w:rPr>
        <w:t>Just want to praise the great service I have received in exchanging my small blue bin to a larger one.  Seamless is how I would describe the process.  Credit where credit is due.</w:t>
      </w:r>
    </w:p>
    <w:p w:rsidR="00C3460D" w:rsidRDefault="00C3460D" w:rsidP="00C3460D">
      <w:pPr>
        <w:ind w:left="720" w:hanging="720"/>
        <w:jc w:val="both"/>
        <w:rPr>
          <w:sz w:val="20"/>
        </w:rPr>
      </w:pPr>
    </w:p>
    <w:p w:rsidR="00C3460D" w:rsidRDefault="00C3460D" w:rsidP="00C3460D">
      <w:pPr>
        <w:pStyle w:val="ListParagraph"/>
        <w:numPr>
          <w:ilvl w:val="0"/>
          <w:numId w:val="28"/>
        </w:numPr>
        <w:ind w:hanging="720"/>
        <w:rPr>
          <w:sz w:val="20"/>
        </w:rPr>
      </w:pPr>
      <w:r>
        <w:rPr>
          <w:sz w:val="20"/>
        </w:rPr>
        <w:t>I will go so far as to say the service within landlord registration is exceptional.</w:t>
      </w:r>
    </w:p>
    <w:p w:rsidR="00C3460D" w:rsidRDefault="00C3460D" w:rsidP="00C3460D">
      <w:pPr>
        <w:ind w:left="720" w:hanging="720"/>
        <w:rPr>
          <w:sz w:val="20"/>
        </w:rPr>
      </w:pPr>
    </w:p>
    <w:p w:rsidR="00C3460D" w:rsidRPr="006253DD" w:rsidRDefault="00C3460D" w:rsidP="00C3460D">
      <w:pPr>
        <w:pStyle w:val="ListParagraph"/>
        <w:numPr>
          <w:ilvl w:val="0"/>
          <w:numId w:val="28"/>
        </w:numPr>
        <w:ind w:hanging="720"/>
        <w:rPr>
          <w:sz w:val="20"/>
        </w:rPr>
      </w:pPr>
      <w:r w:rsidRPr="006253DD">
        <w:rPr>
          <w:sz w:val="20"/>
        </w:rPr>
        <w:t>Thank you parks department for the banisters recently placed at the steps.</w:t>
      </w:r>
    </w:p>
    <w:p w:rsidR="00C3460D" w:rsidRDefault="00C3460D" w:rsidP="00C3460D">
      <w:pPr>
        <w:ind w:left="720" w:hanging="720"/>
        <w:rPr>
          <w:sz w:val="20"/>
        </w:rPr>
      </w:pPr>
    </w:p>
    <w:p w:rsidR="00C3460D" w:rsidRPr="006253DD" w:rsidRDefault="00C3460D" w:rsidP="00C3460D">
      <w:pPr>
        <w:pStyle w:val="ListParagraph"/>
        <w:numPr>
          <w:ilvl w:val="0"/>
          <w:numId w:val="28"/>
        </w:numPr>
        <w:ind w:hanging="720"/>
        <w:jc w:val="both"/>
        <w:rPr>
          <w:sz w:val="20"/>
        </w:rPr>
      </w:pPr>
      <w:r w:rsidRPr="006253DD">
        <w:rPr>
          <w:sz w:val="20"/>
        </w:rPr>
        <w:t>A big thank you for</w:t>
      </w:r>
      <w:r>
        <w:rPr>
          <w:sz w:val="20"/>
        </w:rPr>
        <w:t xml:space="preserve"> the</w:t>
      </w:r>
      <w:r w:rsidRPr="006253DD">
        <w:rPr>
          <w:sz w:val="20"/>
        </w:rPr>
        <w:t xml:space="preserve"> prompt service in fixing our entry door to the block.  Not only can my disabled wife now open the door herself but your team went above and beyond and fitted grab rails so she can now get into the back garden.  A big well done to you all.</w:t>
      </w:r>
    </w:p>
    <w:p w:rsidR="00C3460D" w:rsidRDefault="00C3460D" w:rsidP="00C3460D">
      <w:pPr>
        <w:ind w:left="720" w:hanging="720"/>
        <w:jc w:val="both"/>
        <w:rPr>
          <w:sz w:val="20"/>
        </w:rPr>
      </w:pPr>
    </w:p>
    <w:p w:rsidR="00C3460D" w:rsidRPr="006253DD" w:rsidRDefault="00C3460D" w:rsidP="00C3460D">
      <w:pPr>
        <w:pStyle w:val="ListParagraph"/>
        <w:numPr>
          <w:ilvl w:val="0"/>
          <w:numId w:val="28"/>
        </w:numPr>
        <w:ind w:hanging="720"/>
        <w:jc w:val="both"/>
        <w:rPr>
          <w:sz w:val="20"/>
        </w:rPr>
      </w:pPr>
      <w:r w:rsidRPr="006253DD">
        <w:rPr>
          <w:sz w:val="20"/>
        </w:rPr>
        <w:t>Workman came to fix gas heater and tried everything he could until it was sorted.  Well done!</w:t>
      </w:r>
    </w:p>
    <w:p w:rsidR="00C3460D" w:rsidRDefault="00C3460D" w:rsidP="00C3460D">
      <w:pPr>
        <w:ind w:left="720" w:hanging="720"/>
        <w:jc w:val="both"/>
        <w:rPr>
          <w:sz w:val="20"/>
        </w:rPr>
      </w:pPr>
    </w:p>
    <w:p w:rsidR="00C3460D" w:rsidRPr="006253DD" w:rsidRDefault="00C3460D" w:rsidP="00C3460D">
      <w:pPr>
        <w:pStyle w:val="ListParagraph"/>
        <w:numPr>
          <w:ilvl w:val="0"/>
          <w:numId w:val="28"/>
        </w:numPr>
        <w:ind w:hanging="720"/>
        <w:jc w:val="both"/>
        <w:rPr>
          <w:sz w:val="20"/>
        </w:rPr>
      </w:pPr>
      <w:r w:rsidRPr="006253DD">
        <w:rPr>
          <w:sz w:val="20"/>
        </w:rPr>
        <w:t>Wanted to compliment the foresters who removed two trees this morning for a job well done.  The work was completed efficiently and the area cleaned up before they left.  Staff to be proud of.</w:t>
      </w:r>
    </w:p>
    <w:p w:rsidR="00C3460D" w:rsidRDefault="00C3460D" w:rsidP="00C3460D">
      <w:pPr>
        <w:ind w:left="720" w:hanging="720"/>
        <w:rPr>
          <w:sz w:val="20"/>
        </w:rPr>
      </w:pPr>
    </w:p>
    <w:p w:rsidR="00C3460D" w:rsidRPr="006253DD" w:rsidRDefault="00C3460D" w:rsidP="00C3460D">
      <w:pPr>
        <w:pStyle w:val="ListParagraph"/>
        <w:numPr>
          <w:ilvl w:val="0"/>
          <w:numId w:val="28"/>
        </w:numPr>
        <w:ind w:hanging="720"/>
        <w:jc w:val="both"/>
        <w:rPr>
          <w:sz w:val="20"/>
        </w:rPr>
      </w:pPr>
      <w:r w:rsidRPr="006253DD">
        <w:rPr>
          <w:sz w:val="20"/>
        </w:rPr>
        <w:t>Many thanks for arranging a prompt clear up, it is much appreciated.</w:t>
      </w:r>
    </w:p>
    <w:p w:rsidR="00C3460D" w:rsidRDefault="00C3460D" w:rsidP="00C3460D">
      <w:pPr>
        <w:rPr>
          <w:sz w:val="20"/>
        </w:rPr>
      </w:pPr>
    </w:p>
    <w:p w:rsidR="00C3460D" w:rsidRDefault="00C3460D" w:rsidP="00C3460D">
      <w:pPr>
        <w:pStyle w:val="ListParagraph"/>
        <w:numPr>
          <w:ilvl w:val="0"/>
          <w:numId w:val="28"/>
        </w:numPr>
        <w:ind w:hanging="720"/>
        <w:jc w:val="both"/>
        <w:rPr>
          <w:sz w:val="20"/>
        </w:rPr>
      </w:pPr>
      <w:r w:rsidRPr="006253DD">
        <w:rPr>
          <w:sz w:val="20"/>
        </w:rPr>
        <w:t>Huge well done to the young lad who worked tireles</w:t>
      </w:r>
      <w:r>
        <w:rPr>
          <w:sz w:val="20"/>
        </w:rPr>
        <w:t>sly and meticulously tidying and clearing the shrubs on the path on 31 December.  He worked all day on his own without supervision and has done an absolutely amazing job.</w:t>
      </w:r>
    </w:p>
    <w:p w:rsidR="00C3460D" w:rsidRDefault="00C3460D" w:rsidP="00C3460D">
      <w:pPr>
        <w:ind w:left="720" w:hanging="720"/>
        <w:jc w:val="both"/>
        <w:rPr>
          <w:sz w:val="20"/>
        </w:rPr>
      </w:pPr>
    </w:p>
    <w:p w:rsidR="00C3460D" w:rsidRPr="00C32993" w:rsidRDefault="00C3460D" w:rsidP="00C3460D">
      <w:pPr>
        <w:pStyle w:val="ListParagraph"/>
        <w:numPr>
          <w:ilvl w:val="0"/>
          <w:numId w:val="28"/>
        </w:numPr>
        <w:ind w:hanging="720"/>
        <w:jc w:val="both"/>
        <w:rPr>
          <w:sz w:val="20"/>
        </w:rPr>
      </w:pPr>
      <w:r w:rsidRPr="00C32993">
        <w:rPr>
          <w:sz w:val="20"/>
        </w:rPr>
        <w:t>I was very surprised to receive a letter concerning the repair to my cistern under the heading 'Right to Repair'.  The plumber was fast and efficient and completed the job in no time at all and I certainly have no complaint about the whole process from my initial email to you reporting the fault and to job completion and this letter offers me £30! Unbelievable!  I would be happy if you would either keep the money or make a donation to the children's ward in Ninewells.  Thank you very much.</w:t>
      </w:r>
    </w:p>
    <w:p w:rsidR="00C3460D" w:rsidRDefault="00C3460D" w:rsidP="00C3460D">
      <w:pPr>
        <w:rPr>
          <w:sz w:val="20"/>
        </w:rPr>
      </w:pPr>
    </w:p>
    <w:p w:rsidR="00C3460D" w:rsidRPr="00AF2F46" w:rsidRDefault="00C3460D" w:rsidP="00C3460D">
      <w:pPr>
        <w:pStyle w:val="ListParagraph"/>
        <w:numPr>
          <w:ilvl w:val="0"/>
          <w:numId w:val="28"/>
        </w:numPr>
        <w:ind w:hanging="720"/>
        <w:jc w:val="both"/>
        <w:rPr>
          <w:sz w:val="20"/>
        </w:rPr>
      </w:pPr>
      <w:r w:rsidRPr="00314FC8">
        <w:rPr>
          <w:sz w:val="20"/>
        </w:rPr>
        <w:t>I would like to compliment the Design Team for the playpark in Menzie</w:t>
      </w:r>
      <w:r>
        <w:rPr>
          <w:sz w:val="20"/>
        </w:rPr>
        <w:t>s</w:t>
      </w:r>
      <w:r w:rsidRPr="00314FC8">
        <w:rPr>
          <w:sz w:val="20"/>
        </w:rPr>
        <w:t>hill for the outstanding climbing frames.</w:t>
      </w:r>
    </w:p>
    <w:p w:rsidR="00C3460D" w:rsidRPr="00314FC8" w:rsidRDefault="00C3460D" w:rsidP="00C3460D">
      <w:pPr>
        <w:pStyle w:val="ListParagraph"/>
        <w:ind w:left="0"/>
        <w:jc w:val="both"/>
        <w:rPr>
          <w:sz w:val="20"/>
        </w:rPr>
      </w:pPr>
    </w:p>
    <w:p w:rsidR="00C3460D" w:rsidRDefault="00C3460D" w:rsidP="00C3460D">
      <w:pPr>
        <w:pStyle w:val="ListParagraph"/>
        <w:numPr>
          <w:ilvl w:val="0"/>
          <w:numId w:val="28"/>
        </w:numPr>
        <w:ind w:hanging="720"/>
        <w:jc w:val="both"/>
        <w:rPr>
          <w:sz w:val="20"/>
        </w:rPr>
      </w:pPr>
      <w:r>
        <w:rPr>
          <w:sz w:val="20"/>
        </w:rPr>
        <w:t>A big thank you for the speedy attention to overhanging branches.</w:t>
      </w:r>
    </w:p>
    <w:p w:rsidR="00C3460D" w:rsidRDefault="00C3460D" w:rsidP="00C3460D">
      <w:pPr>
        <w:ind w:left="720" w:hanging="720"/>
        <w:jc w:val="both"/>
        <w:rPr>
          <w:sz w:val="20"/>
        </w:rPr>
      </w:pPr>
    </w:p>
    <w:p w:rsidR="00C3460D" w:rsidRPr="00C32993" w:rsidRDefault="00C3460D" w:rsidP="00C3460D">
      <w:pPr>
        <w:pStyle w:val="ListParagraph"/>
        <w:numPr>
          <w:ilvl w:val="0"/>
          <w:numId w:val="28"/>
        </w:numPr>
        <w:ind w:hanging="720"/>
        <w:jc w:val="both"/>
        <w:rPr>
          <w:sz w:val="20"/>
        </w:rPr>
      </w:pPr>
      <w:r w:rsidRPr="00C32993">
        <w:rPr>
          <w:sz w:val="20"/>
        </w:rPr>
        <w:lastRenderedPageBreak/>
        <w:t xml:space="preserve">I recently enquired about recycling bins in the area surrounding </w:t>
      </w:r>
      <w:r>
        <w:rPr>
          <w:sz w:val="20"/>
        </w:rPr>
        <w:t>my</w:t>
      </w:r>
      <w:r w:rsidRPr="00C32993">
        <w:rPr>
          <w:sz w:val="20"/>
        </w:rPr>
        <w:t xml:space="preserve"> flat and I just wanted to say I had an absolutely amazing customer service experience with the man who helped me.  He is clearly so passionate about the environment</w:t>
      </w:r>
      <w:r>
        <w:rPr>
          <w:sz w:val="20"/>
        </w:rPr>
        <w:t>.  I</w:t>
      </w:r>
      <w:r w:rsidRPr="00C32993">
        <w:rPr>
          <w:sz w:val="20"/>
        </w:rPr>
        <w:t xml:space="preserve">t was great to meet someone so eager to help me out.  He </w:t>
      </w:r>
      <w:r>
        <w:rPr>
          <w:sz w:val="20"/>
        </w:rPr>
        <w:t>is</w:t>
      </w:r>
      <w:r w:rsidRPr="00C32993">
        <w:rPr>
          <w:sz w:val="20"/>
        </w:rPr>
        <w:t xml:space="preserve"> an absolute asset to your team and if he reflects what the rest of the staff are like</w:t>
      </w:r>
      <w:r>
        <w:rPr>
          <w:sz w:val="20"/>
        </w:rPr>
        <w:t>,</w:t>
      </w:r>
      <w:r w:rsidRPr="00C32993">
        <w:rPr>
          <w:sz w:val="20"/>
        </w:rPr>
        <w:t xml:space="preserve"> I can honestly say Dundee City Council is one of the best in Scotland.</w:t>
      </w:r>
    </w:p>
    <w:p w:rsidR="00C3460D" w:rsidRDefault="00C3460D" w:rsidP="00C3460D">
      <w:pPr>
        <w:ind w:left="720" w:hanging="720"/>
        <w:jc w:val="both"/>
        <w:rPr>
          <w:sz w:val="20"/>
        </w:rPr>
      </w:pPr>
    </w:p>
    <w:p w:rsidR="00953655" w:rsidRDefault="00953655">
      <w:pPr>
        <w:rPr>
          <w:sz w:val="20"/>
        </w:rPr>
      </w:pPr>
    </w:p>
    <w:p w:rsidR="00540467" w:rsidRPr="00C411A7" w:rsidRDefault="00C16DCA" w:rsidP="00540467">
      <w:pPr>
        <w:jc w:val="both"/>
        <w:rPr>
          <w:rFonts w:cs="Arial"/>
          <w:b/>
          <w:sz w:val="20"/>
        </w:rPr>
      </w:pPr>
      <w:r>
        <w:rPr>
          <w:b/>
          <w:sz w:val="20"/>
        </w:rPr>
        <w:t>9</w:t>
      </w:r>
      <w:r w:rsidR="00540467" w:rsidRPr="00C411A7">
        <w:rPr>
          <w:b/>
          <w:sz w:val="20"/>
        </w:rPr>
        <w:t>.</w:t>
      </w:r>
      <w:r w:rsidR="00540467" w:rsidRPr="00C411A7">
        <w:rPr>
          <w:b/>
          <w:sz w:val="20"/>
        </w:rPr>
        <w:tab/>
      </w:r>
      <w:r w:rsidR="00540467" w:rsidRPr="00C411A7">
        <w:rPr>
          <w:rFonts w:cs="Arial"/>
          <w:b/>
          <w:bCs/>
          <w:sz w:val="20"/>
        </w:rPr>
        <w:t>POLICY IMPLICATIONS</w:t>
      </w:r>
    </w:p>
    <w:p w:rsidR="00540467" w:rsidRPr="00AB1652" w:rsidRDefault="00540467" w:rsidP="00540467">
      <w:pPr>
        <w:jc w:val="both"/>
        <w:rPr>
          <w:rFonts w:cs="Arial"/>
          <w:sz w:val="20"/>
        </w:rPr>
      </w:pPr>
    </w:p>
    <w:p w:rsidR="00540467" w:rsidRPr="00AB1652" w:rsidRDefault="00C16DCA" w:rsidP="00540467">
      <w:pPr>
        <w:ind w:left="720" w:hanging="720"/>
        <w:jc w:val="both"/>
        <w:rPr>
          <w:rFonts w:cs="Arial"/>
          <w:sz w:val="20"/>
        </w:rPr>
      </w:pPr>
      <w:r>
        <w:rPr>
          <w:rFonts w:cs="Arial"/>
          <w:sz w:val="20"/>
        </w:rPr>
        <w:t>9</w:t>
      </w:r>
      <w:r w:rsidR="00540467" w:rsidRPr="00AB1652">
        <w:rPr>
          <w:rFonts w:cs="Arial"/>
          <w:sz w:val="20"/>
        </w:rPr>
        <w:t>.1</w:t>
      </w:r>
      <w:r w:rsidR="00540467" w:rsidRPr="00AB1652">
        <w:rPr>
          <w:rFonts w:cs="Arial"/>
          <w:sz w:val="20"/>
        </w:rPr>
        <w:tab/>
        <w:t xml:space="preserve">This report has been </w:t>
      </w:r>
      <w:r w:rsidR="00953655">
        <w:rPr>
          <w:rFonts w:cs="Arial"/>
          <w:sz w:val="20"/>
        </w:rPr>
        <w:t>subject to an assessment of any impacts on Equality and Diversity, Fairness and Poverty, Environment and Corp</w:t>
      </w:r>
      <w:r w:rsidR="003F2C2A">
        <w:rPr>
          <w:rFonts w:cs="Arial"/>
          <w:sz w:val="20"/>
        </w:rPr>
        <w:t>orate</w:t>
      </w:r>
      <w:r w:rsidR="00953655">
        <w:rPr>
          <w:rFonts w:cs="Arial"/>
          <w:sz w:val="20"/>
        </w:rPr>
        <w:t xml:space="preserve"> Risk.  </w:t>
      </w:r>
      <w:r w:rsidR="00540467" w:rsidRPr="00AB1652">
        <w:rPr>
          <w:rFonts w:cs="Arial"/>
          <w:sz w:val="20"/>
        </w:rPr>
        <w:t>There are no major issues.</w:t>
      </w:r>
    </w:p>
    <w:p w:rsidR="00540467" w:rsidRPr="00AB1652" w:rsidRDefault="00540467" w:rsidP="00540467">
      <w:pPr>
        <w:ind w:left="720" w:hanging="720"/>
        <w:jc w:val="both"/>
        <w:rPr>
          <w:rFonts w:cs="Arial"/>
          <w:sz w:val="20"/>
        </w:rPr>
      </w:pPr>
    </w:p>
    <w:p w:rsidR="00540467" w:rsidRPr="00AB1652" w:rsidRDefault="00C16DCA" w:rsidP="00DC7C18">
      <w:pPr>
        <w:ind w:left="720" w:hanging="720"/>
        <w:jc w:val="both"/>
        <w:rPr>
          <w:rFonts w:cs="Arial"/>
          <w:sz w:val="20"/>
        </w:rPr>
      </w:pPr>
      <w:r>
        <w:rPr>
          <w:rFonts w:cs="Arial"/>
          <w:sz w:val="20"/>
        </w:rPr>
        <w:t>9</w:t>
      </w:r>
      <w:r w:rsidR="00540467" w:rsidRPr="00AB1652">
        <w:rPr>
          <w:rFonts w:cs="Arial"/>
          <w:sz w:val="20"/>
        </w:rPr>
        <w:t>.2</w:t>
      </w:r>
      <w:r w:rsidR="00540467" w:rsidRPr="00AB1652">
        <w:rPr>
          <w:rFonts w:cs="Arial"/>
          <w:sz w:val="20"/>
        </w:rPr>
        <w:tab/>
        <w:t xml:space="preserve">The complaints recording system includes a feature that asks complaint handlers to highlight any complaint relating to an equalities issue </w:t>
      </w:r>
      <w:r w:rsidR="003D2E54" w:rsidRPr="00AB1652">
        <w:rPr>
          <w:rFonts w:cs="Arial"/>
          <w:sz w:val="20"/>
        </w:rPr>
        <w:t>-</w:t>
      </w:r>
      <w:r w:rsidR="00540467" w:rsidRPr="00AB1652">
        <w:rPr>
          <w:rFonts w:cs="Arial"/>
          <w:sz w:val="20"/>
        </w:rPr>
        <w:t xml:space="preserve"> age, disability, gender, LGBT, race or religion.  </w:t>
      </w:r>
      <w:r w:rsidR="00405033" w:rsidRPr="00AB1652">
        <w:rPr>
          <w:rFonts w:cs="Arial"/>
          <w:sz w:val="20"/>
        </w:rPr>
        <w:t>In 201</w:t>
      </w:r>
      <w:r w:rsidR="00953655">
        <w:rPr>
          <w:rFonts w:cs="Arial"/>
          <w:sz w:val="20"/>
        </w:rPr>
        <w:t>8</w:t>
      </w:r>
      <w:r w:rsidR="00405033" w:rsidRPr="00AB1652">
        <w:rPr>
          <w:rFonts w:cs="Arial"/>
          <w:sz w:val="20"/>
        </w:rPr>
        <w:t>/201</w:t>
      </w:r>
      <w:r w:rsidR="00953655">
        <w:rPr>
          <w:rFonts w:cs="Arial"/>
          <w:sz w:val="20"/>
        </w:rPr>
        <w:t>9</w:t>
      </w:r>
      <w:r w:rsidR="00111799" w:rsidRPr="00AB1652">
        <w:rPr>
          <w:rFonts w:cs="Arial"/>
          <w:sz w:val="20"/>
        </w:rPr>
        <w:t xml:space="preserve">, </w:t>
      </w:r>
      <w:r w:rsidR="00AF2F46">
        <w:rPr>
          <w:rFonts w:cs="Arial"/>
          <w:sz w:val="20"/>
        </w:rPr>
        <w:t>eight</w:t>
      </w:r>
      <w:r w:rsidR="00111799" w:rsidRPr="00AB1652">
        <w:rPr>
          <w:rFonts w:cs="Arial"/>
          <w:sz w:val="20"/>
        </w:rPr>
        <w:t xml:space="preserve"> such complaints were recorded,</w:t>
      </w:r>
      <w:r w:rsidR="00AD7C00" w:rsidRPr="00AB1652">
        <w:rPr>
          <w:rFonts w:cs="Arial"/>
          <w:sz w:val="20"/>
        </w:rPr>
        <w:t xml:space="preserve"> </w:t>
      </w:r>
      <w:r w:rsidR="00AF2F46">
        <w:rPr>
          <w:rFonts w:cs="Arial"/>
          <w:sz w:val="20"/>
        </w:rPr>
        <w:t>seven</w:t>
      </w:r>
      <w:r w:rsidR="00DC7C18">
        <w:rPr>
          <w:rFonts w:cs="Arial"/>
          <w:sz w:val="20"/>
        </w:rPr>
        <w:t xml:space="preserve"> relating to </w:t>
      </w:r>
      <w:r w:rsidR="00AF2F46">
        <w:rPr>
          <w:rFonts w:cs="Arial"/>
          <w:sz w:val="20"/>
        </w:rPr>
        <w:t>disability issues and one to gender</w:t>
      </w:r>
      <w:r w:rsidR="00DC7C18">
        <w:rPr>
          <w:rFonts w:cs="Arial"/>
          <w:sz w:val="20"/>
        </w:rPr>
        <w:t xml:space="preserve">.  </w:t>
      </w:r>
      <w:r w:rsidR="00953655">
        <w:rPr>
          <w:rFonts w:cs="Arial"/>
          <w:sz w:val="20"/>
        </w:rPr>
        <w:t>T</w:t>
      </w:r>
      <w:r w:rsidR="00DC7C18">
        <w:rPr>
          <w:rFonts w:cs="Arial"/>
          <w:sz w:val="20"/>
        </w:rPr>
        <w:t xml:space="preserve">hese cases </w:t>
      </w:r>
      <w:r w:rsidR="00540467" w:rsidRPr="00AB1652">
        <w:rPr>
          <w:rFonts w:cs="Arial"/>
          <w:sz w:val="20"/>
        </w:rPr>
        <w:t>have been drawn to the attention of the Council’s Equality and Diversity</w:t>
      </w:r>
      <w:r w:rsidR="00610B73" w:rsidRPr="00AB1652">
        <w:rPr>
          <w:rFonts w:cs="Arial"/>
          <w:sz w:val="20"/>
        </w:rPr>
        <w:t xml:space="preserve"> Co</w:t>
      </w:r>
      <w:r w:rsidR="007827AF">
        <w:rPr>
          <w:rFonts w:cs="Arial"/>
          <w:sz w:val="20"/>
        </w:rPr>
        <w:noBreakHyphen/>
      </w:r>
      <w:r w:rsidR="00610B73" w:rsidRPr="00AB1652">
        <w:rPr>
          <w:rFonts w:cs="Arial"/>
          <w:sz w:val="20"/>
        </w:rPr>
        <w:t>ordinator, and he had no concerns about how they were dealt with.</w:t>
      </w:r>
    </w:p>
    <w:p w:rsidR="00AD2E1A" w:rsidRPr="00AB1652" w:rsidRDefault="00AD2E1A" w:rsidP="00C40470">
      <w:pPr>
        <w:jc w:val="both"/>
        <w:rPr>
          <w:rFonts w:cs="Arial"/>
          <w:sz w:val="20"/>
        </w:rPr>
      </w:pPr>
    </w:p>
    <w:p w:rsidR="00B17464" w:rsidRDefault="00B17464">
      <w:pPr>
        <w:rPr>
          <w:rFonts w:cs="Arial"/>
          <w:bCs/>
          <w:sz w:val="20"/>
        </w:rPr>
      </w:pPr>
    </w:p>
    <w:p w:rsidR="00540467" w:rsidRPr="00C411A7" w:rsidRDefault="00C16DCA" w:rsidP="00540467">
      <w:pPr>
        <w:rPr>
          <w:rFonts w:cs="Arial"/>
          <w:b/>
          <w:bCs/>
          <w:sz w:val="20"/>
        </w:rPr>
      </w:pPr>
      <w:r>
        <w:rPr>
          <w:rFonts w:cs="Arial"/>
          <w:b/>
          <w:bCs/>
          <w:sz w:val="20"/>
        </w:rPr>
        <w:t>10</w:t>
      </w:r>
      <w:r w:rsidR="00540467" w:rsidRPr="00C411A7">
        <w:rPr>
          <w:rFonts w:cs="Arial"/>
          <w:b/>
          <w:bCs/>
          <w:sz w:val="20"/>
        </w:rPr>
        <w:t>.</w:t>
      </w:r>
      <w:r w:rsidR="00540467" w:rsidRPr="00C411A7">
        <w:rPr>
          <w:rFonts w:cs="Arial"/>
          <w:b/>
          <w:bCs/>
          <w:sz w:val="20"/>
        </w:rPr>
        <w:tab/>
        <w:t>CONSULTATIONS</w:t>
      </w:r>
    </w:p>
    <w:p w:rsidR="00540467" w:rsidRPr="00AB1652" w:rsidRDefault="00540467" w:rsidP="00540467">
      <w:pPr>
        <w:jc w:val="both"/>
        <w:rPr>
          <w:rFonts w:cs="Arial"/>
          <w:sz w:val="20"/>
        </w:rPr>
      </w:pPr>
    </w:p>
    <w:p w:rsidR="00540467" w:rsidRPr="00AB1652" w:rsidRDefault="00540467" w:rsidP="00C40470">
      <w:pPr>
        <w:ind w:left="720" w:right="40"/>
        <w:jc w:val="both"/>
        <w:rPr>
          <w:rFonts w:cs="Arial"/>
          <w:color w:val="000000"/>
          <w:sz w:val="20"/>
        </w:rPr>
      </w:pPr>
      <w:r w:rsidRPr="00AB1652">
        <w:rPr>
          <w:rFonts w:cs="Arial"/>
          <w:color w:val="000000"/>
          <w:sz w:val="20"/>
        </w:rPr>
        <w:t>The</w:t>
      </w:r>
      <w:r w:rsidR="00FE55F1">
        <w:rPr>
          <w:rFonts w:cs="Arial"/>
          <w:color w:val="000000"/>
          <w:sz w:val="20"/>
        </w:rPr>
        <w:t xml:space="preserve"> Council Management Team </w:t>
      </w:r>
      <w:r w:rsidR="000B07EB">
        <w:rPr>
          <w:rFonts w:cs="Arial"/>
          <w:color w:val="000000"/>
          <w:sz w:val="20"/>
        </w:rPr>
        <w:t>was</w:t>
      </w:r>
      <w:r w:rsidRPr="00AB1652">
        <w:rPr>
          <w:rFonts w:cs="Arial"/>
          <w:color w:val="000000"/>
          <w:sz w:val="20"/>
        </w:rPr>
        <w:t xml:space="preserve"> consulted in</w:t>
      </w:r>
      <w:r w:rsidR="00056265">
        <w:rPr>
          <w:rFonts w:cs="Arial"/>
          <w:color w:val="000000"/>
          <w:sz w:val="20"/>
        </w:rPr>
        <w:t xml:space="preserve"> the preparation of this report and agrees with its contents</w:t>
      </w:r>
      <w:r w:rsidR="00DC7C18">
        <w:rPr>
          <w:rFonts w:cs="Arial"/>
          <w:color w:val="000000"/>
          <w:sz w:val="20"/>
        </w:rPr>
        <w:t>.</w:t>
      </w:r>
    </w:p>
    <w:p w:rsidR="00C94F11" w:rsidRPr="00AB1652" w:rsidRDefault="00C94F11" w:rsidP="00540467">
      <w:pPr>
        <w:ind w:left="720" w:right="40" w:hanging="720"/>
        <w:jc w:val="both"/>
        <w:rPr>
          <w:rFonts w:cs="Arial"/>
          <w:color w:val="000000"/>
          <w:sz w:val="20"/>
        </w:rPr>
      </w:pPr>
    </w:p>
    <w:p w:rsidR="003D2E54" w:rsidRPr="00AB1652" w:rsidRDefault="003D2E54" w:rsidP="00540467">
      <w:pPr>
        <w:ind w:left="720" w:right="40" w:hanging="720"/>
        <w:jc w:val="both"/>
        <w:rPr>
          <w:rFonts w:cs="Arial"/>
          <w:color w:val="000000"/>
          <w:sz w:val="20"/>
        </w:rPr>
      </w:pPr>
    </w:p>
    <w:p w:rsidR="00C94F11" w:rsidRPr="00C411A7" w:rsidRDefault="00C16DCA" w:rsidP="00540467">
      <w:pPr>
        <w:ind w:left="720" w:right="40" w:hanging="720"/>
        <w:jc w:val="both"/>
        <w:rPr>
          <w:rFonts w:cs="Arial"/>
          <w:b/>
          <w:color w:val="000000"/>
          <w:sz w:val="20"/>
        </w:rPr>
      </w:pPr>
      <w:r>
        <w:rPr>
          <w:rFonts w:cs="Arial"/>
          <w:b/>
          <w:color w:val="000000"/>
          <w:sz w:val="20"/>
        </w:rPr>
        <w:t>11</w:t>
      </w:r>
      <w:r w:rsidR="00257BAF" w:rsidRPr="00C411A7">
        <w:rPr>
          <w:rFonts w:cs="Arial"/>
          <w:b/>
          <w:color w:val="000000"/>
          <w:sz w:val="20"/>
        </w:rPr>
        <w:t>.</w:t>
      </w:r>
      <w:r w:rsidR="00C94F11" w:rsidRPr="00C411A7">
        <w:rPr>
          <w:rFonts w:cs="Arial"/>
          <w:b/>
          <w:color w:val="000000"/>
          <w:sz w:val="20"/>
        </w:rPr>
        <w:tab/>
      </w:r>
      <w:r w:rsidR="00C40470" w:rsidRPr="00C411A7">
        <w:rPr>
          <w:rFonts w:cs="Arial"/>
          <w:b/>
          <w:color w:val="000000"/>
          <w:sz w:val="20"/>
        </w:rPr>
        <w:t>BACKGROUND PAPERS</w:t>
      </w:r>
    </w:p>
    <w:p w:rsidR="00C94F11" w:rsidRPr="00AB1652" w:rsidRDefault="00C94F11" w:rsidP="00540467">
      <w:pPr>
        <w:ind w:left="720" w:right="40" w:hanging="720"/>
        <w:jc w:val="both"/>
        <w:rPr>
          <w:rFonts w:cs="Arial"/>
          <w:color w:val="000000"/>
          <w:sz w:val="20"/>
        </w:rPr>
      </w:pPr>
    </w:p>
    <w:p w:rsidR="00C94F11" w:rsidRPr="00AB1652" w:rsidRDefault="00C94F11" w:rsidP="00C40470">
      <w:pPr>
        <w:ind w:left="1440" w:right="40" w:hanging="720"/>
        <w:jc w:val="both"/>
        <w:rPr>
          <w:rFonts w:cs="Arial"/>
          <w:color w:val="000000"/>
          <w:sz w:val="20"/>
        </w:rPr>
      </w:pPr>
      <w:r w:rsidRPr="00AB1652">
        <w:rPr>
          <w:rFonts w:cs="Arial"/>
          <w:color w:val="000000"/>
          <w:sz w:val="20"/>
        </w:rPr>
        <w:t>None.</w:t>
      </w:r>
    </w:p>
    <w:p w:rsidR="00540467" w:rsidRPr="00AB1652" w:rsidRDefault="00540467" w:rsidP="00540467">
      <w:pPr>
        <w:ind w:left="720" w:right="40" w:hanging="720"/>
        <w:jc w:val="both"/>
        <w:rPr>
          <w:rFonts w:cs="Arial"/>
          <w:color w:val="000000"/>
          <w:sz w:val="20"/>
        </w:rPr>
      </w:pPr>
    </w:p>
    <w:p w:rsidR="00540467" w:rsidRPr="00AB1652" w:rsidRDefault="00540467" w:rsidP="00540467">
      <w:pPr>
        <w:jc w:val="both"/>
        <w:rPr>
          <w:sz w:val="20"/>
        </w:rPr>
      </w:pPr>
    </w:p>
    <w:p w:rsidR="008A5AEB" w:rsidRDefault="008A5AEB" w:rsidP="00BD6F79">
      <w:pPr>
        <w:ind w:left="720" w:hanging="720"/>
        <w:jc w:val="both"/>
        <w:rPr>
          <w:rFonts w:cs="Arial"/>
          <w:sz w:val="20"/>
        </w:rPr>
      </w:pPr>
    </w:p>
    <w:p w:rsidR="008A5AEB" w:rsidRPr="00AB1652" w:rsidRDefault="008A5AEB" w:rsidP="00BD6F79">
      <w:pPr>
        <w:ind w:left="720" w:hanging="720"/>
        <w:jc w:val="both"/>
        <w:rPr>
          <w:rFonts w:cs="Arial"/>
          <w:sz w:val="20"/>
        </w:rPr>
      </w:pPr>
    </w:p>
    <w:p w:rsidR="00F26BD4" w:rsidRDefault="00F26BD4" w:rsidP="00BD6F79">
      <w:pPr>
        <w:ind w:left="720" w:hanging="720"/>
        <w:jc w:val="both"/>
        <w:rPr>
          <w:rFonts w:cs="Arial"/>
          <w:sz w:val="20"/>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9"/>
        <w:gridCol w:w="2496"/>
      </w:tblGrid>
      <w:tr w:rsidR="007827AF" w:rsidTr="00CD23D2">
        <w:tc>
          <w:tcPr>
            <w:tcW w:w="6809" w:type="dxa"/>
          </w:tcPr>
          <w:p w:rsidR="007827AF" w:rsidRDefault="007827AF" w:rsidP="00BD6F79">
            <w:pPr>
              <w:jc w:val="both"/>
              <w:rPr>
                <w:rFonts w:cs="Arial"/>
                <w:sz w:val="20"/>
              </w:rPr>
            </w:pPr>
            <w:r>
              <w:rPr>
                <w:rFonts w:cs="Arial"/>
                <w:sz w:val="20"/>
              </w:rPr>
              <w:t>David R Martin</w:t>
            </w:r>
          </w:p>
          <w:p w:rsidR="007827AF" w:rsidRDefault="007827AF" w:rsidP="00BD6F79">
            <w:pPr>
              <w:jc w:val="both"/>
              <w:rPr>
                <w:rFonts w:cs="Arial"/>
                <w:sz w:val="20"/>
              </w:rPr>
            </w:pPr>
            <w:r>
              <w:rPr>
                <w:rFonts w:cs="Arial"/>
                <w:sz w:val="20"/>
              </w:rPr>
              <w:t>Chief Executive</w:t>
            </w:r>
          </w:p>
        </w:tc>
        <w:tc>
          <w:tcPr>
            <w:tcW w:w="2496" w:type="dxa"/>
          </w:tcPr>
          <w:p w:rsidR="007827AF" w:rsidRDefault="00240B73" w:rsidP="00BD6F79">
            <w:pPr>
              <w:jc w:val="both"/>
              <w:rPr>
                <w:rFonts w:cs="Arial"/>
                <w:sz w:val="20"/>
              </w:rPr>
            </w:pPr>
            <w:r>
              <w:rPr>
                <w:rFonts w:cs="Arial"/>
                <w:sz w:val="20"/>
              </w:rPr>
              <w:t>28 May</w:t>
            </w:r>
            <w:r w:rsidR="000B07EB">
              <w:rPr>
                <w:rFonts w:cs="Arial"/>
                <w:sz w:val="20"/>
              </w:rPr>
              <w:t xml:space="preserve"> 2019</w:t>
            </w:r>
          </w:p>
        </w:tc>
      </w:tr>
    </w:tbl>
    <w:p w:rsidR="007827AF" w:rsidRPr="00AB1652" w:rsidRDefault="007827AF" w:rsidP="00BD6F79">
      <w:pPr>
        <w:ind w:left="720" w:hanging="720"/>
        <w:jc w:val="both"/>
        <w:rPr>
          <w:rFonts w:cs="Arial"/>
          <w:sz w:val="20"/>
        </w:rPr>
      </w:pPr>
    </w:p>
    <w:p w:rsidR="00F26BD4" w:rsidRPr="00AB1652" w:rsidRDefault="00F26BD4" w:rsidP="00F26BD4">
      <w:pPr>
        <w:ind w:left="720" w:hanging="720"/>
        <w:rPr>
          <w:rFonts w:cs="Arial"/>
          <w:sz w:val="20"/>
        </w:rPr>
        <w:sectPr w:rsidR="00F26BD4" w:rsidRPr="00AB1652" w:rsidSect="006827AB">
          <w:headerReference w:type="even" r:id="rId8"/>
          <w:headerReference w:type="default" r:id="rId9"/>
          <w:footerReference w:type="first" r:id="rId10"/>
          <w:pgSz w:w="11906" w:h="16838" w:code="9"/>
          <w:pgMar w:top="1440" w:right="1298" w:bottom="862" w:left="1298" w:header="720" w:footer="454" w:gutter="0"/>
          <w:paperSrc w:first="15" w:other="15"/>
          <w:cols w:space="720"/>
          <w:titlePg/>
          <w:docGrid w:linePitch="299"/>
        </w:sectPr>
      </w:pPr>
    </w:p>
    <w:p w:rsidR="00F26BD4" w:rsidRPr="00AB1652" w:rsidRDefault="00F26BD4" w:rsidP="000C006E">
      <w:pPr>
        <w:jc w:val="right"/>
        <w:rPr>
          <w:b/>
          <w:sz w:val="20"/>
        </w:rPr>
      </w:pPr>
      <w:r w:rsidRPr="00AB1652">
        <w:rPr>
          <w:b/>
          <w:sz w:val="20"/>
        </w:rPr>
        <w:lastRenderedPageBreak/>
        <w:t>APPENDIX ONE</w:t>
      </w:r>
    </w:p>
    <w:p w:rsidR="00F26BD4" w:rsidRPr="00AB1652" w:rsidRDefault="00F26BD4" w:rsidP="00F26BD4">
      <w:pPr>
        <w:rPr>
          <w:rFonts w:cs="Arial"/>
          <w:b/>
          <w:sz w:val="20"/>
        </w:rPr>
      </w:pPr>
    </w:p>
    <w:p w:rsidR="00F26BD4" w:rsidRPr="00AB1652" w:rsidRDefault="00F26BD4" w:rsidP="00F26BD4">
      <w:pPr>
        <w:rPr>
          <w:rFonts w:cs="Arial"/>
          <w:sz w:val="20"/>
        </w:rPr>
      </w:pPr>
      <w:r w:rsidRPr="00AB1652">
        <w:rPr>
          <w:rFonts w:cs="Arial"/>
          <w:b/>
          <w:sz w:val="20"/>
        </w:rPr>
        <w:t>BREAKDOWN OF DATA ON KEY PERFORMANCE INDICATORS FOR 1/4/201</w:t>
      </w:r>
      <w:r w:rsidR="00BD1D0D">
        <w:rPr>
          <w:rFonts w:cs="Arial"/>
          <w:b/>
          <w:sz w:val="20"/>
        </w:rPr>
        <w:t>8</w:t>
      </w:r>
      <w:r w:rsidRPr="00AB1652">
        <w:rPr>
          <w:rFonts w:cs="Arial"/>
          <w:b/>
          <w:sz w:val="20"/>
        </w:rPr>
        <w:t xml:space="preserve"> TO</w:t>
      </w:r>
      <w:r w:rsidR="00FE55F1">
        <w:rPr>
          <w:rFonts w:cs="Arial"/>
          <w:b/>
          <w:sz w:val="20"/>
        </w:rPr>
        <w:t xml:space="preserve"> 31/3/201</w:t>
      </w:r>
      <w:r w:rsidR="00BD1D0D">
        <w:rPr>
          <w:rFonts w:cs="Arial"/>
          <w:b/>
          <w:sz w:val="20"/>
        </w:rPr>
        <w:t>9</w:t>
      </w:r>
    </w:p>
    <w:p w:rsidR="00F26BD4" w:rsidRPr="00AB1652" w:rsidRDefault="00F26BD4" w:rsidP="00F26BD4">
      <w:pPr>
        <w:rPr>
          <w:rFonts w:cs="Arial"/>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8"/>
        <w:gridCol w:w="851"/>
        <w:gridCol w:w="739"/>
        <w:gridCol w:w="849"/>
        <w:gridCol w:w="759"/>
        <w:gridCol w:w="849"/>
        <w:gridCol w:w="741"/>
        <w:gridCol w:w="849"/>
        <w:gridCol w:w="736"/>
        <w:gridCol w:w="849"/>
        <w:gridCol w:w="759"/>
        <w:gridCol w:w="849"/>
        <w:gridCol w:w="735"/>
        <w:gridCol w:w="2743"/>
      </w:tblGrid>
      <w:tr w:rsidR="00F26BD4" w:rsidRPr="00AB1652" w:rsidTr="00E463E4">
        <w:trPr>
          <w:trHeight w:val="576"/>
        </w:trPr>
        <w:tc>
          <w:tcPr>
            <w:tcW w:w="15398" w:type="dxa"/>
            <w:gridSpan w:val="14"/>
            <w:shd w:val="clear" w:color="auto" w:fill="auto"/>
            <w:vAlign w:val="center"/>
          </w:tcPr>
          <w:p w:rsidR="00F26BD4" w:rsidRPr="00AB1652" w:rsidRDefault="00F26BD4" w:rsidP="00E463E4">
            <w:pPr>
              <w:rPr>
                <w:rFonts w:cs="Arial"/>
                <w:b/>
                <w:sz w:val="20"/>
              </w:rPr>
            </w:pPr>
            <w:r w:rsidRPr="00AB1652">
              <w:rPr>
                <w:rFonts w:cs="Arial"/>
                <w:b/>
                <w:sz w:val="20"/>
              </w:rPr>
              <w:t>Corporate Services</w:t>
            </w:r>
          </w:p>
        </w:tc>
      </w:tr>
      <w:tr w:rsidR="00F26BD4" w:rsidRPr="00AB1652" w:rsidTr="00E463E4">
        <w:trPr>
          <w:trHeight w:val="576"/>
        </w:trPr>
        <w:tc>
          <w:tcPr>
            <w:tcW w:w="2944" w:type="dxa"/>
            <w:shd w:val="clear" w:color="auto" w:fill="auto"/>
            <w:vAlign w:val="center"/>
          </w:tcPr>
          <w:p w:rsidR="00F26BD4" w:rsidRPr="00AB1652" w:rsidRDefault="00AD2E1A" w:rsidP="00E463E4">
            <w:pPr>
              <w:rPr>
                <w:rFonts w:cs="Arial"/>
                <w:b/>
                <w:sz w:val="20"/>
              </w:rPr>
            </w:pPr>
            <w:r w:rsidRPr="00AB1652">
              <w:rPr>
                <w:rFonts w:cs="Arial"/>
                <w:b/>
                <w:sz w:val="20"/>
              </w:rPr>
              <w:t>Stage</w:t>
            </w:r>
          </w:p>
        </w:tc>
        <w:tc>
          <w:tcPr>
            <w:tcW w:w="1599" w:type="dxa"/>
            <w:gridSpan w:val="2"/>
            <w:shd w:val="clear" w:color="auto" w:fill="auto"/>
            <w:vAlign w:val="center"/>
          </w:tcPr>
          <w:p w:rsidR="00F26BD4" w:rsidRPr="00AB1652" w:rsidRDefault="00F26BD4" w:rsidP="00E463E4">
            <w:pPr>
              <w:rPr>
                <w:rFonts w:cs="Arial"/>
                <w:b/>
                <w:sz w:val="20"/>
              </w:rPr>
            </w:pPr>
            <w:r w:rsidRPr="00AB1652">
              <w:rPr>
                <w:rFonts w:cs="Arial"/>
                <w:b/>
                <w:sz w:val="20"/>
              </w:rPr>
              <w:t>Total</w:t>
            </w:r>
          </w:p>
        </w:tc>
        <w:tc>
          <w:tcPr>
            <w:tcW w:w="1619" w:type="dxa"/>
            <w:gridSpan w:val="2"/>
            <w:shd w:val="clear" w:color="auto" w:fill="auto"/>
            <w:vAlign w:val="center"/>
          </w:tcPr>
          <w:p w:rsidR="00F26BD4" w:rsidRPr="00AB1652" w:rsidRDefault="00F26BD4" w:rsidP="00E463E4">
            <w:pPr>
              <w:rPr>
                <w:rFonts w:cs="Arial"/>
                <w:b/>
                <w:sz w:val="20"/>
              </w:rPr>
            </w:pPr>
            <w:r w:rsidRPr="00AB1652">
              <w:rPr>
                <w:rFonts w:cs="Arial"/>
                <w:b/>
                <w:sz w:val="20"/>
              </w:rPr>
              <w:t>Within Target</w:t>
            </w:r>
          </w:p>
        </w:tc>
        <w:tc>
          <w:tcPr>
            <w:tcW w:w="1600" w:type="dxa"/>
            <w:gridSpan w:val="2"/>
            <w:shd w:val="clear" w:color="auto" w:fill="auto"/>
            <w:vAlign w:val="center"/>
          </w:tcPr>
          <w:p w:rsidR="00F26BD4" w:rsidRPr="00AB1652" w:rsidRDefault="00F26BD4" w:rsidP="00E463E4">
            <w:pPr>
              <w:rPr>
                <w:rFonts w:cs="Arial"/>
                <w:b/>
                <w:sz w:val="20"/>
              </w:rPr>
            </w:pPr>
            <w:r w:rsidRPr="00AB1652">
              <w:rPr>
                <w:rFonts w:cs="Arial"/>
                <w:b/>
                <w:sz w:val="20"/>
              </w:rPr>
              <w:t>With Extension</w:t>
            </w:r>
          </w:p>
        </w:tc>
        <w:tc>
          <w:tcPr>
            <w:tcW w:w="1594" w:type="dxa"/>
            <w:gridSpan w:val="2"/>
            <w:shd w:val="clear" w:color="auto" w:fill="auto"/>
            <w:vAlign w:val="center"/>
          </w:tcPr>
          <w:p w:rsidR="00F26BD4" w:rsidRPr="00AB1652" w:rsidRDefault="00F26BD4" w:rsidP="00E463E4">
            <w:pPr>
              <w:rPr>
                <w:rFonts w:cs="Arial"/>
                <w:b/>
                <w:sz w:val="20"/>
              </w:rPr>
            </w:pPr>
            <w:r w:rsidRPr="00AB1652">
              <w:rPr>
                <w:rFonts w:cs="Arial"/>
                <w:b/>
                <w:sz w:val="20"/>
              </w:rPr>
              <w:t>Upheld</w:t>
            </w:r>
          </w:p>
        </w:tc>
        <w:tc>
          <w:tcPr>
            <w:tcW w:w="1619" w:type="dxa"/>
            <w:gridSpan w:val="2"/>
            <w:shd w:val="clear" w:color="auto" w:fill="auto"/>
            <w:vAlign w:val="center"/>
          </w:tcPr>
          <w:p w:rsidR="00F26BD4" w:rsidRPr="00AB1652" w:rsidRDefault="00F26BD4" w:rsidP="00E463E4">
            <w:pPr>
              <w:rPr>
                <w:rFonts w:cs="Arial"/>
                <w:b/>
                <w:sz w:val="20"/>
              </w:rPr>
            </w:pPr>
            <w:r w:rsidRPr="00AB1652">
              <w:rPr>
                <w:rFonts w:cs="Arial"/>
                <w:b/>
                <w:sz w:val="20"/>
              </w:rPr>
              <w:t>Not upheld</w:t>
            </w:r>
          </w:p>
        </w:tc>
        <w:tc>
          <w:tcPr>
            <w:tcW w:w="1593" w:type="dxa"/>
            <w:gridSpan w:val="2"/>
            <w:shd w:val="clear" w:color="auto" w:fill="auto"/>
            <w:vAlign w:val="center"/>
          </w:tcPr>
          <w:p w:rsidR="00F26BD4" w:rsidRPr="00AB1652" w:rsidRDefault="00F26BD4" w:rsidP="00E463E4">
            <w:pPr>
              <w:rPr>
                <w:rFonts w:cs="Arial"/>
                <w:b/>
                <w:sz w:val="20"/>
              </w:rPr>
            </w:pPr>
            <w:r w:rsidRPr="00AB1652">
              <w:rPr>
                <w:rFonts w:cs="Arial"/>
                <w:b/>
                <w:sz w:val="20"/>
              </w:rPr>
              <w:t xml:space="preserve">Partially upheld </w:t>
            </w:r>
          </w:p>
        </w:tc>
        <w:tc>
          <w:tcPr>
            <w:tcW w:w="2830" w:type="dxa"/>
            <w:shd w:val="clear" w:color="auto" w:fill="auto"/>
            <w:vAlign w:val="center"/>
          </w:tcPr>
          <w:p w:rsidR="00F26BD4" w:rsidRPr="00AB1652" w:rsidRDefault="00F26BD4" w:rsidP="00E463E4">
            <w:pPr>
              <w:rPr>
                <w:rFonts w:cs="Arial"/>
                <w:b/>
                <w:sz w:val="20"/>
              </w:rPr>
            </w:pPr>
            <w:r w:rsidRPr="00AB1652">
              <w:rPr>
                <w:rFonts w:cs="Arial"/>
                <w:b/>
                <w:sz w:val="20"/>
              </w:rPr>
              <w:t>Average days to resolve</w:t>
            </w:r>
          </w:p>
        </w:tc>
      </w:tr>
      <w:tr w:rsidR="00F26BD4" w:rsidRPr="00AB1652" w:rsidTr="00E463E4">
        <w:trPr>
          <w:trHeight w:val="576"/>
        </w:trPr>
        <w:tc>
          <w:tcPr>
            <w:tcW w:w="2944" w:type="dxa"/>
            <w:shd w:val="clear" w:color="auto" w:fill="auto"/>
            <w:vAlign w:val="center"/>
          </w:tcPr>
          <w:p w:rsidR="00F26BD4" w:rsidRPr="00AB1652" w:rsidRDefault="00F26BD4" w:rsidP="00E463E4">
            <w:pPr>
              <w:rPr>
                <w:rFonts w:cs="Arial"/>
                <w:b/>
                <w:sz w:val="20"/>
              </w:rPr>
            </w:pPr>
          </w:p>
        </w:tc>
        <w:tc>
          <w:tcPr>
            <w:tcW w:w="853"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6"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67"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8"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2"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67"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1"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2830" w:type="dxa"/>
            <w:shd w:val="clear" w:color="auto" w:fill="auto"/>
            <w:vAlign w:val="center"/>
          </w:tcPr>
          <w:p w:rsidR="00F26BD4" w:rsidRPr="00AB1652" w:rsidRDefault="00F26BD4" w:rsidP="00E463E4">
            <w:pPr>
              <w:rPr>
                <w:rFonts w:cs="Arial"/>
                <w:b/>
                <w:sz w:val="20"/>
              </w:rPr>
            </w:pPr>
          </w:p>
        </w:tc>
      </w:tr>
      <w:tr w:rsidR="00F26BD4" w:rsidRPr="00AB1652" w:rsidTr="00E463E4">
        <w:trPr>
          <w:trHeight w:val="576"/>
        </w:trPr>
        <w:tc>
          <w:tcPr>
            <w:tcW w:w="2944" w:type="dxa"/>
            <w:shd w:val="clear" w:color="auto" w:fill="auto"/>
            <w:vAlign w:val="center"/>
          </w:tcPr>
          <w:p w:rsidR="00F26BD4" w:rsidRPr="00AB1652" w:rsidRDefault="00F26BD4" w:rsidP="00E463E4">
            <w:pPr>
              <w:rPr>
                <w:rFonts w:cs="Arial"/>
                <w:sz w:val="20"/>
              </w:rPr>
            </w:pPr>
            <w:r w:rsidRPr="00AB1652">
              <w:rPr>
                <w:rFonts w:cs="Arial"/>
                <w:sz w:val="20"/>
              </w:rPr>
              <w:t>Frontline</w:t>
            </w:r>
          </w:p>
        </w:tc>
        <w:tc>
          <w:tcPr>
            <w:tcW w:w="853" w:type="dxa"/>
            <w:shd w:val="clear" w:color="auto" w:fill="auto"/>
            <w:vAlign w:val="center"/>
          </w:tcPr>
          <w:p w:rsidR="00F26BD4" w:rsidRPr="00AB1652" w:rsidRDefault="000B07EB" w:rsidP="00E463E4">
            <w:pPr>
              <w:jc w:val="center"/>
              <w:rPr>
                <w:rFonts w:cs="Arial"/>
                <w:sz w:val="20"/>
              </w:rPr>
            </w:pPr>
            <w:r>
              <w:rPr>
                <w:rFonts w:cs="Arial"/>
                <w:sz w:val="20"/>
              </w:rPr>
              <w:t>80</w:t>
            </w:r>
          </w:p>
        </w:tc>
        <w:tc>
          <w:tcPr>
            <w:tcW w:w="746" w:type="dxa"/>
            <w:shd w:val="clear" w:color="auto" w:fill="auto"/>
            <w:vAlign w:val="center"/>
          </w:tcPr>
          <w:p w:rsidR="00F26BD4" w:rsidRPr="00AB1652" w:rsidRDefault="000B07EB" w:rsidP="00E463E4">
            <w:pPr>
              <w:jc w:val="center"/>
              <w:rPr>
                <w:rFonts w:cs="Arial"/>
                <w:sz w:val="20"/>
              </w:rPr>
            </w:pPr>
            <w:r>
              <w:rPr>
                <w:rFonts w:cs="Arial"/>
                <w:sz w:val="20"/>
              </w:rPr>
              <w:t>89.9</w:t>
            </w:r>
          </w:p>
        </w:tc>
        <w:tc>
          <w:tcPr>
            <w:tcW w:w="852" w:type="dxa"/>
            <w:shd w:val="clear" w:color="auto" w:fill="auto"/>
            <w:vAlign w:val="center"/>
          </w:tcPr>
          <w:p w:rsidR="00F26BD4" w:rsidRPr="00AB1652" w:rsidRDefault="000B07EB" w:rsidP="00E463E4">
            <w:pPr>
              <w:jc w:val="center"/>
              <w:rPr>
                <w:rFonts w:cs="Arial"/>
                <w:sz w:val="20"/>
              </w:rPr>
            </w:pPr>
            <w:r>
              <w:rPr>
                <w:rFonts w:cs="Arial"/>
                <w:sz w:val="20"/>
              </w:rPr>
              <w:t>63</w:t>
            </w:r>
          </w:p>
        </w:tc>
        <w:tc>
          <w:tcPr>
            <w:tcW w:w="767" w:type="dxa"/>
            <w:shd w:val="clear" w:color="auto" w:fill="auto"/>
            <w:vAlign w:val="center"/>
          </w:tcPr>
          <w:p w:rsidR="00F26BD4" w:rsidRPr="00AB1652" w:rsidRDefault="000B07EB" w:rsidP="00E463E4">
            <w:pPr>
              <w:jc w:val="center"/>
              <w:rPr>
                <w:rFonts w:cs="Arial"/>
                <w:sz w:val="20"/>
              </w:rPr>
            </w:pPr>
            <w:r>
              <w:rPr>
                <w:rFonts w:cs="Arial"/>
                <w:sz w:val="20"/>
              </w:rPr>
              <w:t>78.8</w:t>
            </w:r>
          </w:p>
        </w:tc>
        <w:tc>
          <w:tcPr>
            <w:tcW w:w="852" w:type="dxa"/>
            <w:shd w:val="clear" w:color="auto" w:fill="auto"/>
            <w:vAlign w:val="center"/>
          </w:tcPr>
          <w:p w:rsidR="00F26BD4" w:rsidRPr="00AB1652" w:rsidRDefault="000B07EB" w:rsidP="00E463E4">
            <w:pPr>
              <w:jc w:val="center"/>
              <w:rPr>
                <w:rFonts w:cs="Arial"/>
                <w:sz w:val="20"/>
              </w:rPr>
            </w:pPr>
            <w:r>
              <w:rPr>
                <w:rFonts w:cs="Arial"/>
                <w:sz w:val="20"/>
              </w:rPr>
              <w:t>4</w:t>
            </w:r>
          </w:p>
        </w:tc>
        <w:tc>
          <w:tcPr>
            <w:tcW w:w="748" w:type="dxa"/>
            <w:shd w:val="clear" w:color="auto" w:fill="auto"/>
            <w:vAlign w:val="center"/>
          </w:tcPr>
          <w:p w:rsidR="00F26BD4" w:rsidRPr="00AB1652" w:rsidRDefault="000B07EB" w:rsidP="00E463E4">
            <w:pPr>
              <w:jc w:val="center"/>
              <w:rPr>
                <w:rFonts w:cs="Arial"/>
                <w:sz w:val="20"/>
              </w:rPr>
            </w:pPr>
            <w:r>
              <w:rPr>
                <w:rFonts w:cs="Arial"/>
                <w:sz w:val="20"/>
              </w:rPr>
              <w:t>5.0</w:t>
            </w:r>
          </w:p>
        </w:tc>
        <w:tc>
          <w:tcPr>
            <w:tcW w:w="852" w:type="dxa"/>
            <w:shd w:val="clear" w:color="auto" w:fill="auto"/>
            <w:vAlign w:val="center"/>
          </w:tcPr>
          <w:p w:rsidR="00F26BD4" w:rsidRPr="00AB1652" w:rsidRDefault="000B07EB" w:rsidP="00E463E4">
            <w:pPr>
              <w:jc w:val="center"/>
              <w:rPr>
                <w:rFonts w:cs="Arial"/>
                <w:sz w:val="20"/>
              </w:rPr>
            </w:pPr>
            <w:r>
              <w:rPr>
                <w:rFonts w:cs="Arial"/>
                <w:sz w:val="20"/>
              </w:rPr>
              <w:t>30</w:t>
            </w:r>
          </w:p>
        </w:tc>
        <w:tc>
          <w:tcPr>
            <w:tcW w:w="742" w:type="dxa"/>
            <w:shd w:val="clear" w:color="auto" w:fill="auto"/>
            <w:vAlign w:val="center"/>
          </w:tcPr>
          <w:p w:rsidR="00F26BD4" w:rsidRPr="00AB1652" w:rsidRDefault="000B07EB" w:rsidP="00E463E4">
            <w:pPr>
              <w:jc w:val="center"/>
              <w:rPr>
                <w:rFonts w:cs="Arial"/>
                <w:sz w:val="20"/>
              </w:rPr>
            </w:pPr>
            <w:r>
              <w:rPr>
                <w:rFonts w:cs="Arial"/>
                <w:sz w:val="20"/>
              </w:rPr>
              <w:t>37.5</w:t>
            </w:r>
          </w:p>
        </w:tc>
        <w:tc>
          <w:tcPr>
            <w:tcW w:w="852" w:type="dxa"/>
            <w:shd w:val="clear" w:color="auto" w:fill="auto"/>
            <w:vAlign w:val="center"/>
          </w:tcPr>
          <w:p w:rsidR="00F26BD4" w:rsidRPr="00AB1652" w:rsidRDefault="000B07EB" w:rsidP="00E463E4">
            <w:pPr>
              <w:jc w:val="center"/>
              <w:rPr>
                <w:rFonts w:cs="Arial"/>
                <w:sz w:val="20"/>
              </w:rPr>
            </w:pPr>
            <w:r>
              <w:rPr>
                <w:rFonts w:cs="Arial"/>
                <w:sz w:val="20"/>
              </w:rPr>
              <w:t>40</w:t>
            </w:r>
          </w:p>
        </w:tc>
        <w:tc>
          <w:tcPr>
            <w:tcW w:w="767" w:type="dxa"/>
            <w:shd w:val="clear" w:color="auto" w:fill="auto"/>
            <w:vAlign w:val="center"/>
          </w:tcPr>
          <w:p w:rsidR="00F26BD4" w:rsidRPr="00AB1652" w:rsidRDefault="000B07EB" w:rsidP="00E463E4">
            <w:pPr>
              <w:jc w:val="center"/>
              <w:rPr>
                <w:rFonts w:cs="Arial"/>
                <w:sz w:val="20"/>
              </w:rPr>
            </w:pPr>
            <w:r>
              <w:rPr>
                <w:rFonts w:cs="Arial"/>
                <w:sz w:val="20"/>
              </w:rPr>
              <w:t>50.0</w:t>
            </w:r>
          </w:p>
        </w:tc>
        <w:tc>
          <w:tcPr>
            <w:tcW w:w="852" w:type="dxa"/>
            <w:shd w:val="clear" w:color="auto" w:fill="auto"/>
            <w:vAlign w:val="center"/>
          </w:tcPr>
          <w:p w:rsidR="00F26BD4" w:rsidRPr="00AB1652" w:rsidRDefault="000B07EB" w:rsidP="00E463E4">
            <w:pPr>
              <w:jc w:val="center"/>
              <w:rPr>
                <w:rFonts w:cs="Arial"/>
                <w:sz w:val="20"/>
              </w:rPr>
            </w:pPr>
            <w:r>
              <w:rPr>
                <w:rFonts w:cs="Arial"/>
                <w:sz w:val="20"/>
              </w:rPr>
              <w:t>10</w:t>
            </w:r>
          </w:p>
        </w:tc>
        <w:tc>
          <w:tcPr>
            <w:tcW w:w="741" w:type="dxa"/>
            <w:shd w:val="clear" w:color="auto" w:fill="auto"/>
            <w:vAlign w:val="center"/>
          </w:tcPr>
          <w:p w:rsidR="00F26BD4" w:rsidRPr="00AB1652" w:rsidRDefault="000B07EB" w:rsidP="00E463E4">
            <w:pPr>
              <w:jc w:val="center"/>
              <w:rPr>
                <w:rFonts w:cs="Arial"/>
                <w:sz w:val="20"/>
              </w:rPr>
            </w:pPr>
            <w:r>
              <w:rPr>
                <w:rFonts w:cs="Arial"/>
                <w:sz w:val="20"/>
              </w:rPr>
              <w:t>12.5</w:t>
            </w:r>
          </w:p>
        </w:tc>
        <w:tc>
          <w:tcPr>
            <w:tcW w:w="2830" w:type="dxa"/>
            <w:shd w:val="clear" w:color="auto" w:fill="auto"/>
            <w:vAlign w:val="center"/>
          </w:tcPr>
          <w:p w:rsidR="00F26BD4" w:rsidRPr="00AB1652" w:rsidRDefault="000B07EB" w:rsidP="00B16DC7">
            <w:pPr>
              <w:jc w:val="center"/>
              <w:rPr>
                <w:rFonts w:cs="Arial"/>
                <w:sz w:val="20"/>
              </w:rPr>
            </w:pPr>
            <w:r>
              <w:rPr>
                <w:rFonts w:cs="Arial"/>
                <w:sz w:val="20"/>
              </w:rPr>
              <w:t>3.6</w:t>
            </w:r>
          </w:p>
        </w:tc>
      </w:tr>
      <w:tr w:rsidR="00F26BD4" w:rsidRPr="00AB1652" w:rsidTr="00E463E4">
        <w:trPr>
          <w:trHeight w:val="576"/>
        </w:trPr>
        <w:tc>
          <w:tcPr>
            <w:tcW w:w="2944" w:type="dxa"/>
            <w:shd w:val="clear" w:color="auto" w:fill="auto"/>
            <w:vAlign w:val="center"/>
          </w:tcPr>
          <w:p w:rsidR="00F26BD4" w:rsidRPr="00AB1652" w:rsidRDefault="007B1A32" w:rsidP="00E463E4">
            <w:pPr>
              <w:rPr>
                <w:rFonts w:cs="Arial"/>
                <w:sz w:val="20"/>
              </w:rPr>
            </w:pPr>
            <w:r w:rsidRPr="00AB1652">
              <w:rPr>
                <w:rFonts w:cs="Arial"/>
                <w:sz w:val="20"/>
              </w:rPr>
              <w:t xml:space="preserve">Opened at </w:t>
            </w:r>
            <w:r w:rsidR="00F26BD4" w:rsidRPr="00AB1652">
              <w:rPr>
                <w:rFonts w:cs="Arial"/>
                <w:sz w:val="20"/>
              </w:rPr>
              <w:t>Investigation</w:t>
            </w:r>
          </w:p>
        </w:tc>
        <w:tc>
          <w:tcPr>
            <w:tcW w:w="853" w:type="dxa"/>
            <w:shd w:val="clear" w:color="auto" w:fill="auto"/>
            <w:vAlign w:val="center"/>
          </w:tcPr>
          <w:p w:rsidR="00F26BD4" w:rsidRPr="00AB1652" w:rsidRDefault="000B07EB" w:rsidP="00E463E4">
            <w:pPr>
              <w:jc w:val="center"/>
              <w:rPr>
                <w:rFonts w:cs="Arial"/>
                <w:sz w:val="20"/>
              </w:rPr>
            </w:pPr>
            <w:r>
              <w:rPr>
                <w:rFonts w:cs="Arial"/>
                <w:sz w:val="20"/>
              </w:rPr>
              <w:t>6</w:t>
            </w:r>
          </w:p>
        </w:tc>
        <w:tc>
          <w:tcPr>
            <w:tcW w:w="746" w:type="dxa"/>
            <w:shd w:val="clear" w:color="auto" w:fill="auto"/>
            <w:vAlign w:val="center"/>
          </w:tcPr>
          <w:p w:rsidR="00F26BD4" w:rsidRPr="00AB1652" w:rsidRDefault="000B07EB" w:rsidP="00E463E4">
            <w:pPr>
              <w:jc w:val="center"/>
              <w:rPr>
                <w:rFonts w:cs="Arial"/>
                <w:sz w:val="20"/>
              </w:rPr>
            </w:pPr>
            <w:r>
              <w:rPr>
                <w:rFonts w:cs="Arial"/>
                <w:sz w:val="20"/>
              </w:rPr>
              <w:t>6.7</w:t>
            </w:r>
          </w:p>
        </w:tc>
        <w:tc>
          <w:tcPr>
            <w:tcW w:w="852" w:type="dxa"/>
            <w:shd w:val="clear" w:color="auto" w:fill="auto"/>
            <w:vAlign w:val="center"/>
          </w:tcPr>
          <w:p w:rsidR="00F26BD4" w:rsidRPr="00AB1652" w:rsidRDefault="000B07EB" w:rsidP="00E463E4">
            <w:pPr>
              <w:jc w:val="center"/>
              <w:rPr>
                <w:rFonts w:cs="Arial"/>
                <w:sz w:val="20"/>
              </w:rPr>
            </w:pPr>
            <w:r>
              <w:rPr>
                <w:rFonts w:cs="Arial"/>
                <w:sz w:val="20"/>
              </w:rPr>
              <w:t>1</w:t>
            </w:r>
          </w:p>
        </w:tc>
        <w:tc>
          <w:tcPr>
            <w:tcW w:w="767" w:type="dxa"/>
            <w:shd w:val="clear" w:color="auto" w:fill="auto"/>
            <w:vAlign w:val="center"/>
          </w:tcPr>
          <w:p w:rsidR="00F26BD4" w:rsidRPr="00AB1652" w:rsidRDefault="000B07EB" w:rsidP="00E463E4">
            <w:pPr>
              <w:jc w:val="center"/>
              <w:rPr>
                <w:rFonts w:cs="Arial"/>
                <w:sz w:val="20"/>
              </w:rPr>
            </w:pPr>
            <w:r>
              <w:rPr>
                <w:rFonts w:cs="Arial"/>
                <w:sz w:val="20"/>
              </w:rPr>
              <w:t>16.7</w:t>
            </w:r>
          </w:p>
        </w:tc>
        <w:tc>
          <w:tcPr>
            <w:tcW w:w="852" w:type="dxa"/>
            <w:shd w:val="clear" w:color="auto" w:fill="auto"/>
            <w:vAlign w:val="center"/>
          </w:tcPr>
          <w:p w:rsidR="00F26BD4" w:rsidRPr="00AB1652" w:rsidRDefault="000B07EB" w:rsidP="00E463E4">
            <w:pPr>
              <w:jc w:val="center"/>
              <w:rPr>
                <w:rFonts w:cs="Arial"/>
                <w:sz w:val="20"/>
              </w:rPr>
            </w:pPr>
            <w:r>
              <w:rPr>
                <w:rFonts w:cs="Arial"/>
                <w:sz w:val="20"/>
              </w:rPr>
              <w:t>5</w:t>
            </w:r>
          </w:p>
        </w:tc>
        <w:tc>
          <w:tcPr>
            <w:tcW w:w="748" w:type="dxa"/>
            <w:shd w:val="clear" w:color="auto" w:fill="auto"/>
            <w:vAlign w:val="center"/>
          </w:tcPr>
          <w:p w:rsidR="00F26BD4" w:rsidRPr="00AB1652" w:rsidRDefault="000B07EB" w:rsidP="00E463E4">
            <w:pPr>
              <w:jc w:val="center"/>
              <w:rPr>
                <w:rFonts w:cs="Arial"/>
                <w:sz w:val="20"/>
              </w:rPr>
            </w:pPr>
            <w:r>
              <w:rPr>
                <w:rFonts w:cs="Arial"/>
                <w:sz w:val="20"/>
              </w:rPr>
              <w:t>83.3</w:t>
            </w:r>
          </w:p>
        </w:tc>
        <w:tc>
          <w:tcPr>
            <w:tcW w:w="852" w:type="dxa"/>
            <w:shd w:val="clear" w:color="auto" w:fill="auto"/>
            <w:vAlign w:val="center"/>
          </w:tcPr>
          <w:p w:rsidR="00F26BD4" w:rsidRPr="00AB1652" w:rsidRDefault="000B07EB" w:rsidP="00E463E4">
            <w:pPr>
              <w:jc w:val="center"/>
              <w:rPr>
                <w:rFonts w:cs="Arial"/>
                <w:sz w:val="20"/>
              </w:rPr>
            </w:pPr>
            <w:r>
              <w:rPr>
                <w:rFonts w:cs="Arial"/>
                <w:sz w:val="20"/>
              </w:rPr>
              <w:t>2</w:t>
            </w:r>
          </w:p>
        </w:tc>
        <w:tc>
          <w:tcPr>
            <w:tcW w:w="742" w:type="dxa"/>
            <w:shd w:val="clear" w:color="auto" w:fill="auto"/>
            <w:vAlign w:val="center"/>
          </w:tcPr>
          <w:p w:rsidR="00F26BD4" w:rsidRPr="00AB1652" w:rsidRDefault="000B07EB" w:rsidP="00E463E4">
            <w:pPr>
              <w:jc w:val="center"/>
              <w:rPr>
                <w:rFonts w:cs="Arial"/>
                <w:sz w:val="20"/>
              </w:rPr>
            </w:pPr>
            <w:r>
              <w:rPr>
                <w:rFonts w:cs="Arial"/>
                <w:sz w:val="20"/>
              </w:rPr>
              <w:t>33.3</w:t>
            </w:r>
          </w:p>
        </w:tc>
        <w:tc>
          <w:tcPr>
            <w:tcW w:w="852" w:type="dxa"/>
            <w:shd w:val="clear" w:color="auto" w:fill="auto"/>
            <w:vAlign w:val="center"/>
          </w:tcPr>
          <w:p w:rsidR="00F26BD4" w:rsidRPr="00AB1652" w:rsidRDefault="000B07EB" w:rsidP="00E463E4">
            <w:pPr>
              <w:jc w:val="center"/>
              <w:rPr>
                <w:rFonts w:cs="Arial"/>
                <w:sz w:val="20"/>
              </w:rPr>
            </w:pPr>
            <w:r>
              <w:rPr>
                <w:rFonts w:cs="Arial"/>
                <w:sz w:val="20"/>
              </w:rPr>
              <w:t>4</w:t>
            </w:r>
          </w:p>
        </w:tc>
        <w:tc>
          <w:tcPr>
            <w:tcW w:w="767" w:type="dxa"/>
            <w:shd w:val="clear" w:color="auto" w:fill="auto"/>
            <w:vAlign w:val="center"/>
          </w:tcPr>
          <w:p w:rsidR="00F26BD4" w:rsidRPr="00AB1652" w:rsidRDefault="000B07EB" w:rsidP="00E463E4">
            <w:pPr>
              <w:jc w:val="center"/>
              <w:rPr>
                <w:rFonts w:cs="Arial"/>
                <w:sz w:val="20"/>
              </w:rPr>
            </w:pPr>
            <w:r>
              <w:rPr>
                <w:rFonts w:cs="Arial"/>
                <w:sz w:val="20"/>
              </w:rPr>
              <w:t>66.7</w:t>
            </w:r>
          </w:p>
        </w:tc>
        <w:tc>
          <w:tcPr>
            <w:tcW w:w="852" w:type="dxa"/>
            <w:shd w:val="clear" w:color="auto" w:fill="auto"/>
            <w:vAlign w:val="center"/>
          </w:tcPr>
          <w:p w:rsidR="00F26BD4" w:rsidRPr="00AB1652" w:rsidRDefault="00F26BD4" w:rsidP="00E463E4">
            <w:pPr>
              <w:jc w:val="center"/>
              <w:rPr>
                <w:rFonts w:cs="Arial"/>
                <w:sz w:val="20"/>
              </w:rPr>
            </w:pPr>
          </w:p>
        </w:tc>
        <w:tc>
          <w:tcPr>
            <w:tcW w:w="741" w:type="dxa"/>
            <w:shd w:val="clear" w:color="auto" w:fill="auto"/>
            <w:vAlign w:val="center"/>
          </w:tcPr>
          <w:p w:rsidR="00F26BD4" w:rsidRPr="00AB1652" w:rsidRDefault="00F26BD4" w:rsidP="00E463E4">
            <w:pPr>
              <w:jc w:val="center"/>
              <w:rPr>
                <w:rFonts w:cs="Arial"/>
                <w:sz w:val="20"/>
              </w:rPr>
            </w:pPr>
          </w:p>
        </w:tc>
        <w:tc>
          <w:tcPr>
            <w:tcW w:w="2830" w:type="dxa"/>
            <w:shd w:val="clear" w:color="auto" w:fill="auto"/>
            <w:vAlign w:val="center"/>
          </w:tcPr>
          <w:p w:rsidR="00F26BD4" w:rsidRPr="00AB1652" w:rsidRDefault="000B07EB" w:rsidP="00B16DC7">
            <w:pPr>
              <w:jc w:val="center"/>
              <w:rPr>
                <w:rFonts w:cs="Arial"/>
                <w:sz w:val="20"/>
              </w:rPr>
            </w:pPr>
            <w:r>
              <w:rPr>
                <w:rFonts w:cs="Arial"/>
                <w:sz w:val="20"/>
              </w:rPr>
              <w:t>14.6</w:t>
            </w:r>
          </w:p>
        </w:tc>
      </w:tr>
      <w:tr w:rsidR="007B1A32" w:rsidRPr="00AB1652" w:rsidTr="00E463E4">
        <w:trPr>
          <w:trHeight w:val="576"/>
        </w:trPr>
        <w:tc>
          <w:tcPr>
            <w:tcW w:w="2944" w:type="dxa"/>
            <w:shd w:val="clear" w:color="auto" w:fill="auto"/>
            <w:vAlign w:val="center"/>
          </w:tcPr>
          <w:p w:rsidR="007B1A32" w:rsidRPr="00AB1652" w:rsidRDefault="007B1A32" w:rsidP="00E463E4">
            <w:pPr>
              <w:rPr>
                <w:rFonts w:cs="Arial"/>
                <w:sz w:val="20"/>
              </w:rPr>
            </w:pPr>
            <w:r w:rsidRPr="00AB1652">
              <w:rPr>
                <w:rFonts w:cs="Arial"/>
                <w:sz w:val="20"/>
              </w:rPr>
              <w:t>Escalated to Investigation</w:t>
            </w:r>
          </w:p>
        </w:tc>
        <w:tc>
          <w:tcPr>
            <w:tcW w:w="853" w:type="dxa"/>
            <w:shd w:val="clear" w:color="auto" w:fill="auto"/>
            <w:vAlign w:val="center"/>
          </w:tcPr>
          <w:p w:rsidR="007B1A32" w:rsidRPr="00AB1652" w:rsidRDefault="000B07EB" w:rsidP="00E463E4">
            <w:pPr>
              <w:jc w:val="center"/>
              <w:rPr>
                <w:rFonts w:cs="Arial"/>
                <w:sz w:val="20"/>
              </w:rPr>
            </w:pPr>
            <w:r>
              <w:rPr>
                <w:rFonts w:cs="Arial"/>
                <w:sz w:val="20"/>
              </w:rPr>
              <w:t>3</w:t>
            </w:r>
          </w:p>
        </w:tc>
        <w:tc>
          <w:tcPr>
            <w:tcW w:w="746" w:type="dxa"/>
            <w:shd w:val="clear" w:color="auto" w:fill="auto"/>
            <w:vAlign w:val="center"/>
          </w:tcPr>
          <w:p w:rsidR="007B1A32" w:rsidRPr="00AB1652" w:rsidRDefault="000B07EB" w:rsidP="00E463E4">
            <w:pPr>
              <w:jc w:val="center"/>
              <w:rPr>
                <w:rFonts w:cs="Arial"/>
                <w:sz w:val="20"/>
              </w:rPr>
            </w:pPr>
            <w:r>
              <w:rPr>
                <w:rFonts w:cs="Arial"/>
                <w:sz w:val="20"/>
              </w:rPr>
              <w:t>3.4</w:t>
            </w:r>
          </w:p>
        </w:tc>
        <w:tc>
          <w:tcPr>
            <w:tcW w:w="852" w:type="dxa"/>
            <w:shd w:val="clear" w:color="auto" w:fill="auto"/>
            <w:vAlign w:val="center"/>
          </w:tcPr>
          <w:p w:rsidR="007B1A32" w:rsidRPr="00AB1652" w:rsidRDefault="000B07EB" w:rsidP="00E463E4">
            <w:pPr>
              <w:jc w:val="center"/>
              <w:rPr>
                <w:rFonts w:cs="Arial"/>
                <w:sz w:val="20"/>
              </w:rPr>
            </w:pPr>
            <w:r>
              <w:rPr>
                <w:rFonts w:cs="Arial"/>
                <w:sz w:val="20"/>
              </w:rPr>
              <w:t>2</w:t>
            </w:r>
          </w:p>
        </w:tc>
        <w:tc>
          <w:tcPr>
            <w:tcW w:w="767" w:type="dxa"/>
            <w:shd w:val="clear" w:color="auto" w:fill="auto"/>
            <w:vAlign w:val="center"/>
          </w:tcPr>
          <w:p w:rsidR="007B1A32" w:rsidRPr="00AB1652" w:rsidRDefault="000B07EB" w:rsidP="00E463E4">
            <w:pPr>
              <w:jc w:val="center"/>
              <w:rPr>
                <w:rFonts w:cs="Arial"/>
                <w:sz w:val="20"/>
              </w:rPr>
            </w:pPr>
            <w:r>
              <w:rPr>
                <w:rFonts w:cs="Arial"/>
                <w:sz w:val="20"/>
              </w:rPr>
              <w:t>66.7</w:t>
            </w:r>
          </w:p>
        </w:tc>
        <w:tc>
          <w:tcPr>
            <w:tcW w:w="852" w:type="dxa"/>
            <w:shd w:val="clear" w:color="auto" w:fill="auto"/>
            <w:vAlign w:val="center"/>
          </w:tcPr>
          <w:p w:rsidR="007B1A32" w:rsidRPr="00AB1652" w:rsidRDefault="000B07EB" w:rsidP="00E463E4">
            <w:pPr>
              <w:jc w:val="center"/>
              <w:rPr>
                <w:rFonts w:cs="Arial"/>
                <w:sz w:val="20"/>
              </w:rPr>
            </w:pPr>
            <w:r>
              <w:rPr>
                <w:rFonts w:cs="Arial"/>
                <w:sz w:val="20"/>
              </w:rPr>
              <w:t>1</w:t>
            </w:r>
          </w:p>
        </w:tc>
        <w:tc>
          <w:tcPr>
            <w:tcW w:w="748" w:type="dxa"/>
            <w:shd w:val="clear" w:color="auto" w:fill="auto"/>
            <w:vAlign w:val="center"/>
          </w:tcPr>
          <w:p w:rsidR="007B1A32" w:rsidRPr="00AB1652" w:rsidRDefault="000B07EB" w:rsidP="00E463E4">
            <w:pPr>
              <w:jc w:val="center"/>
              <w:rPr>
                <w:rFonts w:cs="Arial"/>
                <w:sz w:val="20"/>
              </w:rPr>
            </w:pPr>
            <w:r>
              <w:rPr>
                <w:rFonts w:cs="Arial"/>
                <w:sz w:val="20"/>
              </w:rPr>
              <w:t>33.3</w:t>
            </w:r>
          </w:p>
        </w:tc>
        <w:tc>
          <w:tcPr>
            <w:tcW w:w="852" w:type="dxa"/>
            <w:shd w:val="clear" w:color="auto" w:fill="auto"/>
            <w:vAlign w:val="center"/>
          </w:tcPr>
          <w:p w:rsidR="007B1A32" w:rsidRPr="00AB1652" w:rsidRDefault="000B07EB" w:rsidP="00E463E4">
            <w:pPr>
              <w:jc w:val="center"/>
              <w:rPr>
                <w:rFonts w:cs="Arial"/>
                <w:sz w:val="20"/>
              </w:rPr>
            </w:pPr>
            <w:r>
              <w:rPr>
                <w:rFonts w:cs="Arial"/>
                <w:sz w:val="20"/>
              </w:rPr>
              <w:t>2</w:t>
            </w:r>
          </w:p>
        </w:tc>
        <w:tc>
          <w:tcPr>
            <w:tcW w:w="742" w:type="dxa"/>
            <w:shd w:val="clear" w:color="auto" w:fill="auto"/>
            <w:vAlign w:val="center"/>
          </w:tcPr>
          <w:p w:rsidR="007B1A32" w:rsidRPr="00AB1652" w:rsidRDefault="000B07EB" w:rsidP="00E463E4">
            <w:pPr>
              <w:jc w:val="center"/>
              <w:rPr>
                <w:rFonts w:cs="Arial"/>
                <w:sz w:val="20"/>
              </w:rPr>
            </w:pPr>
            <w:r>
              <w:rPr>
                <w:rFonts w:cs="Arial"/>
                <w:sz w:val="20"/>
              </w:rPr>
              <w:t>66.7</w:t>
            </w:r>
          </w:p>
        </w:tc>
        <w:tc>
          <w:tcPr>
            <w:tcW w:w="852" w:type="dxa"/>
            <w:shd w:val="clear" w:color="auto" w:fill="auto"/>
            <w:vAlign w:val="center"/>
          </w:tcPr>
          <w:p w:rsidR="007B1A32" w:rsidRPr="00AB1652" w:rsidRDefault="007B1A32" w:rsidP="00E463E4">
            <w:pPr>
              <w:jc w:val="center"/>
              <w:rPr>
                <w:rFonts w:cs="Arial"/>
                <w:sz w:val="20"/>
              </w:rPr>
            </w:pPr>
          </w:p>
        </w:tc>
        <w:tc>
          <w:tcPr>
            <w:tcW w:w="767" w:type="dxa"/>
            <w:shd w:val="clear" w:color="auto" w:fill="auto"/>
            <w:vAlign w:val="center"/>
          </w:tcPr>
          <w:p w:rsidR="007B1A32" w:rsidRPr="00AB1652" w:rsidRDefault="007B1A32" w:rsidP="00E463E4">
            <w:pPr>
              <w:jc w:val="center"/>
              <w:rPr>
                <w:rFonts w:cs="Arial"/>
                <w:sz w:val="20"/>
              </w:rPr>
            </w:pPr>
          </w:p>
        </w:tc>
        <w:tc>
          <w:tcPr>
            <w:tcW w:w="852" w:type="dxa"/>
            <w:shd w:val="clear" w:color="auto" w:fill="auto"/>
            <w:vAlign w:val="center"/>
          </w:tcPr>
          <w:p w:rsidR="007B1A32" w:rsidRPr="00AB1652" w:rsidRDefault="000B07EB" w:rsidP="00E463E4">
            <w:pPr>
              <w:jc w:val="center"/>
              <w:rPr>
                <w:rFonts w:cs="Arial"/>
                <w:sz w:val="20"/>
              </w:rPr>
            </w:pPr>
            <w:r>
              <w:rPr>
                <w:rFonts w:cs="Arial"/>
                <w:sz w:val="20"/>
              </w:rPr>
              <w:t>1</w:t>
            </w:r>
          </w:p>
        </w:tc>
        <w:tc>
          <w:tcPr>
            <w:tcW w:w="741" w:type="dxa"/>
            <w:shd w:val="clear" w:color="auto" w:fill="auto"/>
            <w:vAlign w:val="center"/>
          </w:tcPr>
          <w:p w:rsidR="007B1A32" w:rsidRPr="00AB1652" w:rsidRDefault="000B07EB" w:rsidP="00E463E4">
            <w:pPr>
              <w:jc w:val="center"/>
              <w:rPr>
                <w:rFonts w:cs="Arial"/>
                <w:sz w:val="20"/>
              </w:rPr>
            </w:pPr>
            <w:r>
              <w:rPr>
                <w:rFonts w:cs="Arial"/>
                <w:sz w:val="20"/>
              </w:rPr>
              <w:t>33.3</w:t>
            </w:r>
          </w:p>
        </w:tc>
        <w:tc>
          <w:tcPr>
            <w:tcW w:w="2830" w:type="dxa"/>
            <w:shd w:val="clear" w:color="auto" w:fill="auto"/>
            <w:vAlign w:val="center"/>
          </w:tcPr>
          <w:p w:rsidR="007B1A32" w:rsidRPr="00AB1652" w:rsidRDefault="000B07EB" w:rsidP="00B16DC7">
            <w:pPr>
              <w:jc w:val="center"/>
              <w:rPr>
                <w:rFonts w:cs="Arial"/>
                <w:sz w:val="20"/>
              </w:rPr>
            </w:pPr>
            <w:r>
              <w:rPr>
                <w:rFonts w:cs="Arial"/>
                <w:sz w:val="20"/>
              </w:rPr>
              <w:t>15.0</w:t>
            </w:r>
          </w:p>
        </w:tc>
      </w:tr>
    </w:tbl>
    <w:p w:rsidR="00F26BD4" w:rsidRPr="008A5AEB" w:rsidRDefault="00F26BD4" w:rsidP="00F26BD4">
      <w:pPr>
        <w:rPr>
          <w:rFonts w:cs="Arial"/>
          <w:color w:val="000000"/>
          <w:sz w:val="20"/>
        </w:rPr>
      </w:pPr>
    </w:p>
    <w:p w:rsidR="00E40DC9" w:rsidRPr="008A5AEB" w:rsidRDefault="00E40DC9" w:rsidP="00F26BD4">
      <w:pPr>
        <w:rPr>
          <w:rFonts w:cs="Arial"/>
          <w:color w:val="000000"/>
          <w:sz w:val="20"/>
        </w:rPr>
      </w:pPr>
    </w:p>
    <w:p w:rsidR="00E40DC9" w:rsidRPr="008A5AEB" w:rsidRDefault="00E40DC9" w:rsidP="00F26BD4">
      <w:pPr>
        <w:rPr>
          <w:rFonts w:cs="Arial"/>
          <w:color w:val="000000"/>
          <w:sz w:val="20"/>
        </w:rPr>
      </w:pPr>
    </w:p>
    <w:p w:rsidR="00E40DC9" w:rsidRPr="008A5AEB" w:rsidRDefault="00E40DC9" w:rsidP="00F26BD4">
      <w:pPr>
        <w:rPr>
          <w:rFonts w:cs="Arial"/>
          <w:color w:val="000000"/>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6"/>
        <w:gridCol w:w="850"/>
        <w:gridCol w:w="740"/>
        <w:gridCol w:w="849"/>
        <w:gridCol w:w="744"/>
        <w:gridCol w:w="849"/>
        <w:gridCol w:w="742"/>
        <w:gridCol w:w="849"/>
        <w:gridCol w:w="736"/>
        <w:gridCol w:w="849"/>
        <w:gridCol w:w="734"/>
        <w:gridCol w:w="849"/>
        <w:gridCol w:w="736"/>
        <w:gridCol w:w="2763"/>
      </w:tblGrid>
      <w:tr w:rsidR="00F26BD4" w:rsidRPr="00AB1652" w:rsidTr="00E463E4">
        <w:trPr>
          <w:trHeight w:val="576"/>
        </w:trPr>
        <w:tc>
          <w:tcPr>
            <w:tcW w:w="15398" w:type="dxa"/>
            <w:gridSpan w:val="14"/>
            <w:shd w:val="clear" w:color="auto" w:fill="auto"/>
            <w:vAlign w:val="center"/>
          </w:tcPr>
          <w:p w:rsidR="00F26BD4" w:rsidRPr="00AB1652" w:rsidRDefault="009D7062" w:rsidP="00A36357">
            <w:pPr>
              <w:rPr>
                <w:rFonts w:cs="Arial"/>
                <w:b/>
                <w:sz w:val="20"/>
              </w:rPr>
            </w:pPr>
            <w:r w:rsidRPr="00AB1652">
              <w:rPr>
                <w:rFonts w:cs="Arial"/>
                <w:b/>
                <w:sz w:val="20"/>
              </w:rPr>
              <w:t xml:space="preserve">Children </w:t>
            </w:r>
            <w:r w:rsidR="00A36357">
              <w:rPr>
                <w:rFonts w:cs="Arial"/>
                <w:b/>
                <w:sz w:val="20"/>
              </w:rPr>
              <w:t>and</w:t>
            </w:r>
            <w:r w:rsidRPr="00AB1652">
              <w:rPr>
                <w:rFonts w:cs="Arial"/>
                <w:b/>
                <w:sz w:val="20"/>
              </w:rPr>
              <w:t xml:space="preserve"> Families - </w:t>
            </w:r>
            <w:r w:rsidR="00F26BD4" w:rsidRPr="00AB1652">
              <w:rPr>
                <w:rFonts w:cs="Arial"/>
                <w:b/>
                <w:sz w:val="20"/>
              </w:rPr>
              <w:t>Education</w:t>
            </w:r>
            <w:r w:rsidR="00A36357">
              <w:rPr>
                <w:rFonts w:cs="Arial"/>
                <w:b/>
                <w:sz w:val="20"/>
              </w:rPr>
              <w:t>/Schools</w:t>
            </w:r>
          </w:p>
        </w:tc>
      </w:tr>
      <w:tr w:rsidR="00F26BD4" w:rsidRPr="00AB1652" w:rsidTr="00E463E4">
        <w:trPr>
          <w:trHeight w:val="576"/>
        </w:trPr>
        <w:tc>
          <w:tcPr>
            <w:tcW w:w="2964" w:type="dxa"/>
            <w:shd w:val="clear" w:color="auto" w:fill="auto"/>
            <w:vAlign w:val="center"/>
          </w:tcPr>
          <w:p w:rsidR="00F26BD4" w:rsidRPr="00AB1652" w:rsidRDefault="00AD2E1A" w:rsidP="00E463E4">
            <w:pPr>
              <w:rPr>
                <w:rFonts w:cs="Arial"/>
                <w:b/>
                <w:sz w:val="20"/>
              </w:rPr>
            </w:pPr>
            <w:r w:rsidRPr="00AB1652">
              <w:rPr>
                <w:rFonts w:cs="Arial"/>
                <w:b/>
                <w:sz w:val="20"/>
              </w:rPr>
              <w:t>Stage</w:t>
            </w:r>
          </w:p>
        </w:tc>
        <w:tc>
          <w:tcPr>
            <w:tcW w:w="1600" w:type="dxa"/>
            <w:gridSpan w:val="2"/>
            <w:shd w:val="clear" w:color="auto" w:fill="auto"/>
            <w:vAlign w:val="center"/>
          </w:tcPr>
          <w:p w:rsidR="00F26BD4" w:rsidRPr="00AB1652" w:rsidRDefault="00F26BD4" w:rsidP="00E463E4">
            <w:pPr>
              <w:rPr>
                <w:rFonts w:cs="Arial"/>
                <w:b/>
                <w:sz w:val="20"/>
              </w:rPr>
            </w:pPr>
            <w:r w:rsidRPr="00AB1652">
              <w:rPr>
                <w:rFonts w:cs="Arial"/>
                <w:b/>
                <w:sz w:val="20"/>
              </w:rPr>
              <w:t>Total</w:t>
            </w:r>
          </w:p>
        </w:tc>
        <w:tc>
          <w:tcPr>
            <w:tcW w:w="1597" w:type="dxa"/>
            <w:gridSpan w:val="2"/>
            <w:shd w:val="clear" w:color="auto" w:fill="auto"/>
            <w:vAlign w:val="center"/>
          </w:tcPr>
          <w:p w:rsidR="00F26BD4" w:rsidRPr="00AB1652" w:rsidRDefault="00F26BD4" w:rsidP="00E463E4">
            <w:pPr>
              <w:rPr>
                <w:rFonts w:cs="Arial"/>
                <w:b/>
                <w:sz w:val="20"/>
              </w:rPr>
            </w:pPr>
            <w:r w:rsidRPr="00AB1652">
              <w:rPr>
                <w:rFonts w:cs="Arial"/>
                <w:b/>
                <w:sz w:val="20"/>
              </w:rPr>
              <w:t>Within Target</w:t>
            </w:r>
          </w:p>
        </w:tc>
        <w:tc>
          <w:tcPr>
            <w:tcW w:w="1601" w:type="dxa"/>
            <w:gridSpan w:val="2"/>
            <w:shd w:val="clear" w:color="auto" w:fill="auto"/>
            <w:vAlign w:val="center"/>
          </w:tcPr>
          <w:p w:rsidR="00F26BD4" w:rsidRPr="00AB1652" w:rsidRDefault="00F26BD4" w:rsidP="00E463E4">
            <w:pPr>
              <w:rPr>
                <w:rFonts w:cs="Arial"/>
                <w:b/>
                <w:sz w:val="20"/>
              </w:rPr>
            </w:pPr>
            <w:r w:rsidRPr="00AB1652">
              <w:rPr>
                <w:rFonts w:cs="Arial"/>
                <w:b/>
                <w:sz w:val="20"/>
              </w:rPr>
              <w:t>With Extension</w:t>
            </w:r>
          </w:p>
        </w:tc>
        <w:tc>
          <w:tcPr>
            <w:tcW w:w="1595" w:type="dxa"/>
            <w:gridSpan w:val="2"/>
            <w:shd w:val="clear" w:color="auto" w:fill="auto"/>
            <w:vAlign w:val="center"/>
          </w:tcPr>
          <w:p w:rsidR="00F26BD4" w:rsidRPr="00AB1652" w:rsidRDefault="00F26BD4" w:rsidP="00E463E4">
            <w:pPr>
              <w:rPr>
                <w:rFonts w:cs="Arial"/>
                <w:b/>
                <w:sz w:val="20"/>
              </w:rPr>
            </w:pPr>
            <w:r w:rsidRPr="00AB1652">
              <w:rPr>
                <w:rFonts w:cs="Arial"/>
                <w:b/>
                <w:sz w:val="20"/>
              </w:rPr>
              <w:t>Upheld</w:t>
            </w:r>
          </w:p>
        </w:tc>
        <w:tc>
          <w:tcPr>
            <w:tcW w:w="1593" w:type="dxa"/>
            <w:gridSpan w:val="2"/>
            <w:shd w:val="clear" w:color="auto" w:fill="auto"/>
            <w:vAlign w:val="center"/>
          </w:tcPr>
          <w:p w:rsidR="00F26BD4" w:rsidRPr="00AB1652" w:rsidRDefault="00F26BD4" w:rsidP="00E463E4">
            <w:pPr>
              <w:rPr>
                <w:rFonts w:cs="Arial"/>
                <w:b/>
                <w:sz w:val="20"/>
              </w:rPr>
            </w:pPr>
            <w:r w:rsidRPr="00AB1652">
              <w:rPr>
                <w:rFonts w:cs="Arial"/>
                <w:b/>
                <w:sz w:val="20"/>
              </w:rPr>
              <w:t>Not upheld</w:t>
            </w:r>
          </w:p>
        </w:tc>
        <w:tc>
          <w:tcPr>
            <w:tcW w:w="1595" w:type="dxa"/>
            <w:gridSpan w:val="2"/>
            <w:shd w:val="clear" w:color="auto" w:fill="auto"/>
            <w:vAlign w:val="center"/>
          </w:tcPr>
          <w:p w:rsidR="00F26BD4" w:rsidRPr="00AB1652" w:rsidRDefault="00F26BD4" w:rsidP="00E463E4">
            <w:pPr>
              <w:rPr>
                <w:rFonts w:cs="Arial"/>
                <w:b/>
                <w:sz w:val="20"/>
              </w:rPr>
            </w:pPr>
            <w:r w:rsidRPr="00AB1652">
              <w:rPr>
                <w:rFonts w:cs="Arial"/>
                <w:b/>
                <w:sz w:val="20"/>
              </w:rPr>
              <w:t xml:space="preserve">Partially upheld </w:t>
            </w:r>
          </w:p>
        </w:tc>
        <w:tc>
          <w:tcPr>
            <w:tcW w:w="2853" w:type="dxa"/>
            <w:shd w:val="clear" w:color="auto" w:fill="auto"/>
            <w:vAlign w:val="center"/>
          </w:tcPr>
          <w:p w:rsidR="00F26BD4" w:rsidRPr="00AB1652" w:rsidRDefault="00F26BD4" w:rsidP="00E463E4">
            <w:pPr>
              <w:rPr>
                <w:rFonts w:cs="Arial"/>
                <w:b/>
                <w:sz w:val="20"/>
              </w:rPr>
            </w:pPr>
            <w:r w:rsidRPr="00AB1652">
              <w:rPr>
                <w:rFonts w:cs="Arial"/>
                <w:b/>
                <w:sz w:val="20"/>
              </w:rPr>
              <w:t>Average days to resolve</w:t>
            </w:r>
          </w:p>
        </w:tc>
      </w:tr>
      <w:tr w:rsidR="00F26BD4" w:rsidRPr="00AB1652" w:rsidTr="00E463E4">
        <w:trPr>
          <w:trHeight w:val="576"/>
        </w:trPr>
        <w:tc>
          <w:tcPr>
            <w:tcW w:w="2964" w:type="dxa"/>
            <w:shd w:val="clear" w:color="auto" w:fill="auto"/>
            <w:vAlign w:val="center"/>
          </w:tcPr>
          <w:p w:rsidR="00F26BD4" w:rsidRPr="00AB1652" w:rsidRDefault="00F26BD4" w:rsidP="00E463E4">
            <w:pPr>
              <w:rPr>
                <w:rFonts w:cs="Arial"/>
                <w:b/>
                <w:sz w:val="20"/>
              </w:rPr>
            </w:pPr>
          </w:p>
        </w:tc>
        <w:tc>
          <w:tcPr>
            <w:tcW w:w="853"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7"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5"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9"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3"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1"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3"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2853" w:type="dxa"/>
            <w:shd w:val="clear" w:color="auto" w:fill="auto"/>
            <w:vAlign w:val="center"/>
          </w:tcPr>
          <w:p w:rsidR="00F26BD4" w:rsidRPr="00AB1652" w:rsidRDefault="00F26BD4" w:rsidP="00E463E4">
            <w:pPr>
              <w:rPr>
                <w:rFonts w:cs="Arial"/>
                <w:b/>
                <w:sz w:val="20"/>
              </w:rPr>
            </w:pPr>
          </w:p>
        </w:tc>
      </w:tr>
      <w:tr w:rsidR="00F26BD4" w:rsidRPr="00AB1652" w:rsidTr="00E463E4">
        <w:trPr>
          <w:trHeight w:val="576"/>
        </w:trPr>
        <w:tc>
          <w:tcPr>
            <w:tcW w:w="2964" w:type="dxa"/>
            <w:shd w:val="clear" w:color="auto" w:fill="auto"/>
            <w:vAlign w:val="center"/>
          </w:tcPr>
          <w:p w:rsidR="00F26BD4" w:rsidRPr="00AB1652" w:rsidRDefault="00F26BD4" w:rsidP="00E463E4">
            <w:pPr>
              <w:rPr>
                <w:rFonts w:cs="Arial"/>
                <w:sz w:val="20"/>
              </w:rPr>
            </w:pPr>
            <w:r w:rsidRPr="00AB1652">
              <w:rPr>
                <w:rFonts w:cs="Arial"/>
                <w:sz w:val="20"/>
              </w:rPr>
              <w:t>Frontline</w:t>
            </w:r>
          </w:p>
        </w:tc>
        <w:tc>
          <w:tcPr>
            <w:tcW w:w="853" w:type="dxa"/>
            <w:shd w:val="clear" w:color="auto" w:fill="auto"/>
            <w:vAlign w:val="center"/>
          </w:tcPr>
          <w:p w:rsidR="00F26BD4" w:rsidRPr="00AB1652" w:rsidRDefault="003A17C8" w:rsidP="00E463E4">
            <w:pPr>
              <w:jc w:val="center"/>
              <w:rPr>
                <w:rFonts w:cs="Arial"/>
                <w:sz w:val="20"/>
              </w:rPr>
            </w:pPr>
            <w:r>
              <w:rPr>
                <w:rFonts w:cs="Arial"/>
                <w:sz w:val="20"/>
              </w:rPr>
              <w:t>69</w:t>
            </w:r>
          </w:p>
        </w:tc>
        <w:tc>
          <w:tcPr>
            <w:tcW w:w="747" w:type="dxa"/>
            <w:shd w:val="clear" w:color="auto" w:fill="auto"/>
            <w:vAlign w:val="center"/>
          </w:tcPr>
          <w:p w:rsidR="00F26BD4" w:rsidRPr="00AB1652" w:rsidRDefault="003A17C8" w:rsidP="00E463E4">
            <w:pPr>
              <w:jc w:val="center"/>
              <w:rPr>
                <w:rFonts w:cs="Arial"/>
                <w:sz w:val="20"/>
              </w:rPr>
            </w:pPr>
            <w:r>
              <w:rPr>
                <w:rFonts w:cs="Arial"/>
                <w:sz w:val="20"/>
              </w:rPr>
              <w:t>55.2</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27</w:t>
            </w:r>
          </w:p>
        </w:tc>
        <w:tc>
          <w:tcPr>
            <w:tcW w:w="745" w:type="dxa"/>
            <w:shd w:val="clear" w:color="auto" w:fill="auto"/>
            <w:vAlign w:val="center"/>
          </w:tcPr>
          <w:p w:rsidR="00F26BD4" w:rsidRPr="00AB1652" w:rsidRDefault="003A17C8" w:rsidP="00E463E4">
            <w:pPr>
              <w:jc w:val="center"/>
              <w:rPr>
                <w:rFonts w:cs="Arial"/>
                <w:sz w:val="20"/>
              </w:rPr>
            </w:pPr>
            <w:r>
              <w:rPr>
                <w:rFonts w:cs="Arial"/>
                <w:sz w:val="20"/>
              </w:rPr>
              <w:t>39.1</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8</w:t>
            </w:r>
          </w:p>
        </w:tc>
        <w:tc>
          <w:tcPr>
            <w:tcW w:w="749" w:type="dxa"/>
            <w:shd w:val="clear" w:color="auto" w:fill="auto"/>
            <w:vAlign w:val="center"/>
          </w:tcPr>
          <w:p w:rsidR="00F26BD4" w:rsidRPr="00AB1652" w:rsidRDefault="003A17C8" w:rsidP="00E463E4">
            <w:pPr>
              <w:jc w:val="center"/>
              <w:rPr>
                <w:rFonts w:cs="Arial"/>
                <w:sz w:val="20"/>
              </w:rPr>
            </w:pPr>
            <w:r>
              <w:rPr>
                <w:rFonts w:cs="Arial"/>
                <w:sz w:val="20"/>
              </w:rPr>
              <w:t>11.6</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18</w:t>
            </w:r>
          </w:p>
        </w:tc>
        <w:tc>
          <w:tcPr>
            <w:tcW w:w="743" w:type="dxa"/>
            <w:shd w:val="clear" w:color="auto" w:fill="auto"/>
            <w:vAlign w:val="center"/>
          </w:tcPr>
          <w:p w:rsidR="00F26BD4" w:rsidRPr="00AB1652" w:rsidRDefault="003A17C8" w:rsidP="00E463E4">
            <w:pPr>
              <w:jc w:val="center"/>
              <w:rPr>
                <w:rFonts w:cs="Arial"/>
                <w:sz w:val="20"/>
              </w:rPr>
            </w:pPr>
            <w:r>
              <w:rPr>
                <w:rFonts w:cs="Arial"/>
                <w:sz w:val="20"/>
              </w:rPr>
              <w:t>26.1</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30</w:t>
            </w:r>
          </w:p>
        </w:tc>
        <w:tc>
          <w:tcPr>
            <w:tcW w:w="741" w:type="dxa"/>
            <w:shd w:val="clear" w:color="auto" w:fill="auto"/>
            <w:vAlign w:val="center"/>
          </w:tcPr>
          <w:p w:rsidR="00F26BD4" w:rsidRPr="00AB1652" w:rsidRDefault="003A17C8" w:rsidP="00E463E4">
            <w:pPr>
              <w:jc w:val="center"/>
              <w:rPr>
                <w:rFonts w:cs="Arial"/>
                <w:sz w:val="20"/>
              </w:rPr>
            </w:pPr>
            <w:r>
              <w:rPr>
                <w:rFonts w:cs="Arial"/>
                <w:sz w:val="20"/>
              </w:rPr>
              <w:t>43.5</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21</w:t>
            </w:r>
          </w:p>
        </w:tc>
        <w:tc>
          <w:tcPr>
            <w:tcW w:w="743" w:type="dxa"/>
            <w:shd w:val="clear" w:color="auto" w:fill="auto"/>
            <w:vAlign w:val="center"/>
          </w:tcPr>
          <w:p w:rsidR="00F26BD4" w:rsidRPr="00AB1652" w:rsidRDefault="003A17C8" w:rsidP="00E463E4">
            <w:pPr>
              <w:jc w:val="center"/>
              <w:rPr>
                <w:rFonts w:cs="Arial"/>
                <w:sz w:val="20"/>
              </w:rPr>
            </w:pPr>
            <w:r>
              <w:rPr>
                <w:rFonts w:cs="Arial"/>
                <w:sz w:val="20"/>
              </w:rPr>
              <w:t>30.4</w:t>
            </w:r>
          </w:p>
        </w:tc>
        <w:tc>
          <w:tcPr>
            <w:tcW w:w="2853" w:type="dxa"/>
            <w:shd w:val="clear" w:color="auto" w:fill="auto"/>
            <w:vAlign w:val="center"/>
          </w:tcPr>
          <w:p w:rsidR="00F26BD4" w:rsidRPr="00AB1652" w:rsidRDefault="003A17C8" w:rsidP="00B16DC7">
            <w:pPr>
              <w:jc w:val="center"/>
              <w:rPr>
                <w:rFonts w:cs="Arial"/>
                <w:sz w:val="20"/>
              </w:rPr>
            </w:pPr>
            <w:r>
              <w:rPr>
                <w:rFonts w:cs="Arial"/>
                <w:sz w:val="20"/>
              </w:rPr>
              <w:t>11.7</w:t>
            </w:r>
          </w:p>
        </w:tc>
      </w:tr>
      <w:tr w:rsidR="00F26BD4" w:rsidRPr="00AB1652" w:rsidTr="00E463E4">
        <w:trPr>
          <w:trHeight w:val="576"/>
        </w:trPr>
        <w:tc>
          <w:tcPr>
            <w:tcW w:w="2964" w:type="dxa"/>
            <w:shd w:val="clear" w:color="auto" w:fill="auto"/>
            <w:vAlign w:val="center"/>
          </w:tcPr>
          <w:p w:rsidR="00F26BD4" w:rsidRPr="00AB1652" w:rsidRDefault="00C5190C" w:rsidP="00E463E4">
            <w:pPr>
              <w:rPr>
                <w:rFonts w:cs="Arial"/>
                <w:sz w:val="20"/>
              </w:rPr>
            </w:pPr>
            <w:r w:rsidRPr="00AB1652">
              <w:rPr>
                <w:rFonts w:cs="Arial"/>
                <w:sz w:val="20"/>
              </w:rPr>
              <w:t xml:space="preserve">Opened at </w:t>
            </w:r>
            <w:r w:rsidR="00F26BD4" w:rsidRPr="00AB1652">
              <w:rPr>
                <w:rFonts w:cs="Arial"/>
                <w:sz w:val="20"/>
              </w:rPr>
              <w:t>Investigation</w:t>
            </w:r>
          </w:p>
        </w:tc>
        <w:tc>
          <w:tcPr>
            <w:tcW w:w="853" w:type="dxa"/>
            <w:shd w:val="clear" w:color="auto" w:fill="auto"/>
            <w:vAlign w:val="center"/>
          </w:tcPr>
          <w:p w:rsidR="00F26BD4" w:rsidRPr="00AB1652" w:rsidRDefault="003A17C8" w:rsidP="00E463E4">
            <w:pPr>
              <w:jc w:val="center"/>
              <w:rPr>
                <w:rFonts w:cs="Arial"/>
                <w:sz w:val="20"/>
              </w:rPr>
            </w:pPr>
            <w:r>
              <w:rPr>
                <w:rFonts w:cs="Arial"/>
                <w:sz w:val="20"/>
              </w:rPr>
              <w:t>50</w:t>
            </w:r>
          </w:p>
        </w:tc>
        <w:tc>
          <w:tcPr>
            <w:tcW w:w="747" w:type="dxa"/>
            <w:shd w:val="clear" w:color="auto" w:fill="auto"/>
            <w:vAlign w:val="center"/>
          </w:tcPr>
          <w:p w:rsidR="00F26BD4" w:rsidRPr="00AB1652" w:rsidRDefault="003A17C8" w:rsidP="00E463E4">
            <w:pPr>
              <w:jc w:val="center"/>
              <w:rPr>
                <w:rFonts w:cs="Arial"/>
                <w:sz w:val="20"/>
              </w:rPr>
            </w:pPr>
            <w:r>
              <w:rPr>
                <w:rFonts w:cs="Arial"/>
                <w:sz w:val="20"/>
              </w:rPr>
              <w:t>40.0</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37</w:t>
            </w:r>
          </w:p>
        </w:tc>
        <w:tc>
          <w:tcPr>
            <w:tcW w:w="745" w:type="dxa"/>
            <w:shd w:val="clear" w:color="auto" w:fill="auto"/>
            <w:vAlign w:val="center"/>
          </w:tcPr>
          <w:p w:rsidR="00F26BD4" w:rsidRPr="00AB1652" w:rsidRDefault="003A17C8" w:rsidP="00E463E4">
            <w:pPr>
              <w:jc w:val="center"/>
              <w:rPr>
                <w:rFonts w:cs="Arial"/>
                <w:sz w:val="20"/>
              </w:rPr>
            </w:pPr>
            <w:r>
              <w:rPr>
                <w:rFonts w:cs="Arial"/>
                <w:sz w:val="20"/>
              </w:rPr>
              <w:t>74.0</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6</w:t>
            </w:r>
          </w:p>
        </w:tc>
        <w:tc>
          <w:tcPr>
            <w:tcW w:w="749" w:type="dxa"/>
            <w:shd w:val="clear" w:color="auto" w:fill="auto"/>
            <w:vAlign w:val="center"/>
          </w:tcPr>
          <w:p w:rsidR="00F26BD4" w:rsidRPr="00AB1652" w:rsidRDefault="003A17C8" w:rsidP="00E463E4">
            <w:pPr>
              <w:jc w:val="center"/>
              <w:rPr>
                <w:rFonts w:cs="Arial"/>
                <w:sz w:val="20"/>
              </w:rPr>
            </w:pPr>
            <w:r>
              <w:rPr>
                <w:rFonts w:cs="Arial"/>
                <w:sz w:val="20"/>
              </w:rPr>
              <w:t>12.0</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6</w:t>
            </w:r>
          </w:p>
        </w:tc>
        <w:tc>
          <w:tcPr>
            <w:tcW w:w="743" w:type="dxa"/>
            <w:shd w:val="clear" w:color="auto" w:fill="auto"/>
            <w:vAlign w:val="center"/>
          </w:tcPr>
          <w:p w:rsidR="00F26BD4" w:rsidRPr="00AB1652" w:rsidRDefault="003A17C8" w:rsidP="00E463E4">
            <w:pPr>
              <w:jc w:val="center"/>
              <w:rPr>
                <w:rFonts w:cs="Arial"/>
                <w:sz w:val="20"/>
              </w:rPr>
            </w:pPr>
            <w:r>
              <w:rPr>
                <w:rFonts w:cs="Arial"/>
                <w:sz w:val="20"/>
              </w:rPr>
              <w:t>12.0</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30</w:t>
            </w:r>
          </w:p>
        </w:tc>
        <w:tc>
          <w:tcPr>
            <w:tcW w:w="741" w:type="dxa"/>
            <w:shd w:val="clear" w:color="auto" w:fill="auto"/>
            <w:vAlign w:val="center"/>
          </w:tcPr>
          <w:p w:rsidR="00F26BD4" w:rsidRPr="00AB1652" w:rsidRDefault="003A17C8" w:rsidP="00E463E4">
            <w:pPr>
              <w:jc w:val="center"/>
              <w:rPr>
                <w:rFonts w:cs="Arial"/>
                <w:sz w:val="20"/>
              </w:rPr>
            </w:pPr>
            <w:r>
              <w:rPr>
                <w:rFonts w:cs="Arial"/>
                <w:sz w:val="20"/>
              </w:rPr>
              <w:t>60.0</w:t>
            </w:r>
          </w:p>
        </w:tc>
        <w:tc>
          <w:tcPr>
            <w:tcW w:w="852" w:type="dxa"/>
            <w:shd w:val="clear" w:color="auto" w:fill="auto"/>
            <w:vAlign w:val="center"/>
          </w:tcPr>
          <w:p w:rsidR="00F26BD4" w:rsidRPr="00AB1652" w:rsidRDefault="003A17C8" w:rsidP="00E463E4">
            <w:pPr>
              <w:jc w:val="center"/>
              <w:rPr>
                <w:rFonts w:cs="Arial"/>
                <w:sz w:val="20"/>
              </w:rPr>
            </w:pPr>
            <w:r>
              <w:rPr>
                <w:rFonts w:cs="Arial"/>
                <w:sz w:val="20"/>
              </w:rPr>
              <w:t>14</w:t>
            </w:r>
          </w:p>
        </w:tc>
        <w:tc>
          <w:tcPr>
            <w:tcW w:w="743" w:type="dxa"/>
            <w:shd w:val="clear" w:color="auto" w:fill="auto"/>
            <w:vAlign w:val="center"/>
          </w:tcPr>
          <w:p w:rsidR="00F26BD4" w:rsidRPr="00AB1652" w:rsidRDefault="003A17C8" w:rsidP="00E463E4">
            <w:pPr>
              <w:jc w:val="center"/>
              <w:rPr>
                <w:rFonts w:cs="Arial"/>
                <w:sz w:val="20"/>
              </w:rPr>
            </w:pPr>
            <w:r>
              <w:rPr>
                <w:rFonts w:cs="Arial"/>
                <w:sz w:val="20"/>
              </w:rPr>
              <w:t>28.0</w:t>
            </w:r>
          </w:p>
        </w:tc>
        <w:tc>
          <w:tcPr>
            <w:tcW w:w="2853" w:type="dxa"/>
            <w:shd w:val="clear" w:color="auto" w:fill="auto"/>
            <w:vAlign w:val="center"/>
          </w:tcPr>
          <w:p w:rsidR="00F26BD4" w:rsidRPr="00AB1652" w:rsidRDefault="003A17C8" w:rsidP="00B16DC7">
            <w:pPr>
              <w:jc w:val="center"/>
              <w:rPr>
                <w:rFonts w:cs="Arial"/>
                <w:sz w:val="20"/>
              </w:rPr>
            </w:pPr>
            <w:r>
              <w:rPr>
                <w:rFonts w:cs="Arial"/>
                <w:sz w:val="20"/>
              </w:rPr>
              <w:t>20.4</w:t>
            </w:r>
          </w:p>
        </w:tc>
      </w:tr>
      <w:tr w:rsidR="00C5190C" w:rsidRPr="00AB1652" w:rsidTr="00E463E4">
        <w:trPr>
          <w:trHeight w:val="576"/>
        </w:trPr>
        <w:tc>
          <w:tcPr>
            <w:tcW w:w="2964" w:type="dxa"/>
            <w:shd w:val="clear" w:color="auto" w:fill="auto"/>
            <w:vAlign w:val="center"/>
          </w:tcPr>
          <w:p w:rsidR="00C5190C" w:rsidRPr="00AB1652" w:rsidRDefault="00C5190C" w:rsidP="00E463E4">
            <w:pPr>
              <w:rPr>
                <w:rFonts w:cs="Arial"/>
                <w:sz w:val="20"/>
              </w:rPr>
            </w:pPr>
            <w:r w:rsidRPr="00AB1652">
              <w:rPr>
                <w:rFonts w:cs="Arial"/>
                <w:sz w:val="20"/>
              </w:rPr>
              <w:t>Escalated to Investigation</w:t>
            </w:r>
          </w:p>
        </w:tc>
        <w:tc>
          <w:tcPr>
            <w:tcW w:w="853" w:type="dxa"/>
            <w:shd w:val="clear" w:color="auto" w:fill="auto"/>
            <w:vAlign w:val="center"/>
          </w:tcPr>
          <w:p w:rsidR="00C5190C" w:rsidRPr="00AB1652" w:rsidRDefault="003A17C8" w:rsidP="00E463E4">
            <w:pPr>
              <w:jc w:val="center"/>
              <w:rPr>
                <w:rFonts w:cs="Arial"/>
                <w:sz w:val="20"/>
              </w:rPr>
            </w:pPr>
            <w:r>
              <w:rPr>
                <w:rFonts w:cs="Arial"/>
                <w:sz w:val="20"/>
              </w:rPr>
              <w:t>6</w:t>
            </w:r>
          </w:p>
        </w:tc>
        <w:tc>
          <w:tcPr>
            <w:tcW w:w="747" w:type="dxa"/>
            <w:shd w:val="clear" w:color="auto" w:fill="auto"/>
            <w:vAlign w:val="center"/>
          </w:tcPr>
          <w:p w:rsidR="00C5190C" w:rsidRPr="00AB1652" w:rsidRDefault="003A17C8" w:rsidP="00E463E4">
            <w:pPr>
              <w:jc w:val="center"/>
              <w:rPr>
                <w:rFonts w:cs="Arial"/>
                <w:sz w:val="20"/>
              </w:rPr>
            </w:pPr>
            <w:r>
              <w:rPr>
                <w:rFonts w:cs="Arial"/>
                <w:sz w:val="20"/>
              </w:rPr>
              <w:t>4.8</w:t>
            </w:r>
          </w:p>
        </w:tc>
        <w:tc>
          <w:tcPr>
            <w:tcW w:w="852" w:type="dxa"/>
            <w:shd w:val="clear" w:color="auto" w:fill="auto"/>
            <w:vAlign w:val="center"/>
          </w:tcPr>
          <w:p w:rsidR="00C5190C" w:rsidRPr="00AB1652" w:rsidRDefault="003A17C8" w:rsidP="00E463E4">
            <w:pPr>
              <w:jc w:val="center"/>
              <w:rPr>
                <w:rFonts w:cs="Arial"/>
                <w:sz w:val="20"/>
              </w:rPr>
            </w:pPr>
            <w:r>
              <w:rPr>
                <w:rFonts w:cs="Arial"/>
                <w:sz w:val="20"/>
              </w:rPr>
              <w:t>6</w:t>
            </w:r>
          </w:p>
        </w:tc>
        <w:tc>
          <w:tcPr>
            <w:tcW w:w="745" w:type="dxa"/>
            <w:shd w:val="clear" w:color="auto" w:fill="auto"/>
            <w:vAlign w:val="center"/>
          </w:tcPr>
          <w:p w:rsidR="00C5190C" w:rsidRPr="00AB1652" w:rsidRDefault="003A17C8" w:rsidP="00E463E4">
            <w:pPr>
              <w:jc w:val="center"/>
              <w:rPr>
                <w:rFonts w:cs="Arial"/>
                <w:sz w:val="20"/>
              </w:rPr>
            </w:pPr>
            <w:r>
              <w:rPr>
                <w:rFonts w:cs="Arial"/>
                <w:sz w:val="20"/>
              </w:rPr>
              <w:t>100.0</w:t>
            </w:r>
          </w:p>
        </w:tc>
        <w:tc>
          <w:tcPr>
            <w:tcW w:w="852" w:type="dxa"/>
            <w:shd w:val="clear" w:color="auto" w:fill="auto"/>
            <w:vAlign w:val="center"/>
          </w:tcPr>
          <w:p w:rsidR="00C5190C" w:rsidRPr="00AB1652" w:rsidRDefault="00C5190C" w:rsidP="00E463E4">
            <w:pPr>
              <w:jc w:val="center"/>
              <w:rPr>
                <w:rFonts w:cs="Arial"/>
                <w:sz w:val="20"/>
              </w:rPr>
            </w:pPr>
          </w:p>
        </w:tc>
        <w:tc>
          <w:tcPr>
            <w:tcW w:w="749" w:type="dxa"/>
            <w:shd w:val="clear" w:color="auto" w:fill="auto"/>
            <w:vAlign w:val="center"/>
          </w:tcPr>
          <w:p w:rsidR="00C5190C" w:rsidRPr="00AB1652" w:rsidRDefault="00C5190C" w:rsidP="00E463E4">
            <w:pPr>
              <w:jc w:val="center"/>
              <w:rPr>
                <w:rFonts w:cs="Arial"/>
                <w:sz w:val="20"/>
              </w:rPr>
            </w:pPr>
          </w:p>
        </w:tc>
        <w:tc>
          <w:tcPr>
            <w:tcW w:w="852" w:type="dxa"/>
            <w:shd w:val="clear" w:color="auto" w:fill="auto"/>
            <w:vAlign w:val="center"/>
          </w:tcPr>
          <w:p w:rsidR="00C5190C" w:rsidRPr="00AB1652" w:rsidRDefault="00C5190C" w:rsidP="00E463E4">
            <w:pPr>
              <w:jc w:val="center"/>
              <w:rPr>
                <w:rFonts w:cs="Arial"/>
                <w:sz w:val="20"/>
              </w:rPr>
            </w:pPr>
          </w:p>
        </w:tc>
        <w:tc>
          <w:tcPr>
            <w:tcW w:w="743" w:type="dxa"/>
            <w:shd w:val="clear" w:color="auto" w:fill="auto"/>
            <w:vAlign w:val="center"/>
          </w:tcPr>
          <w:p w:rsidR="00C5190C" w:rsidRPr="00AB1652" w:rsidRDefault="00C5190C" w:rsidP="00E463E4">
            <w:pPr>
              <w:jc w:val="center"/>
              <w:rPr>
                <w:rFonts w:cs="Arial"/>
                <w:sz w:val="20"/>
              </w:rPr>
            </w:pPr>
          </w:p>
        </w:tc>
        <w:tc>
          <w:tcPr>
            <w:tcW w:w="852" w:type="dxa"/>
            <w:shd w:val="clear" w:color="auto" w:fill="auto"/>
            <w:vAlign w:val="center"/>
          </w:tcPr>
          <w:p w:rsidR="00C5190C" w:rsidRPr="00AB1652" w:rsidRDefault="003A17C8" w:rsidP="00E463E4">
            <w:pPr>
              <w:jc w:val="center"/>
              <w:rPr>
                <w:rFonts w:cs="Arial"/>
                <w:sz w:val="20"/>
              </w:rPr>
            </w:pPr>
            <w:r>
              <w:rPr>
                <w:rFonts w:cs="Arial"/>
                <w:sz w:val="20"/>
              </w:rPr>
              <w:t>4</w:t>
            </w:r>
          </w:p>
        </w:tc>
        <w:tc>
          <w:tcPr>
            <w:tcW w:w="741" w:type="dxa"/>
            <w:shd w:val="clear" w:color="auto" w:fill="auto"/>
            <w:vAlign w:val="center"/>
          </w:tcPr>
          <w:p w:rsidR="00C5190C" w:rsidRPr="00AB1652" w:rsidRDefault="003A17C8" w:rsidP="00E463E4">
            <w:pPr>
              <w:jc w:val="center"/>
              <w:rPr>
                <w:rFonts w:cs="Arial"/>
                <w:sz w:val="20"/>
              </w:rPr>
            </w:pPr>
            <w:r>
              <w:rPr>
                <w:rFonts w:cs="Arial"/>
                <w:sz w:val="20"/>
              </w:rPr>
              <w:t>66.7</w:t>
            </w:r>
          </w:p>
        </w:tc>
        <w:tc>
          <w:tcPr>
            <w:tcW w:w="852" w:type="dxa"/>
            <w:shd w:val="clear" w:color="auto" w:fill="auto"/>
            <w:vAlign w:val="center"/>
          </w:tcPr>
          <w:p w:rsidR="00C5190C" w:rsidRPr="00AB1652" w:rsidRDefault="003A17C8" w:rsidP="00E463E4">
            <w:pPr>
              <w:jc w:val="center"/>
              <w:rPr>
                <w:rFonts w:cs="Arial"/>
                <w:sz w:val="20"/>
              </w:rPr>
            </w:pPr>
            <w:r>
              <w:rPr>
                <w:rFonts w:cs="Arial"/>
                <w:sz w:val="20"/>
              </w:rPr>
              <w:t>2</w:t>
            </w:r>
          </w:p>
        </w:tc>
        <w:tc>
          <w:tcPr>
            <w:tcW w:w="743" w:type="dxa"/>
            <w:shd w:val="clear" w:color="auto" w:fill="auto"/>
            <w:vAlign w:val="center"/>
          </w:tcPr>
          <w:p w:rsidR="00C5190C" w:rsidRPr="00AB1652" w:rsidRDefault="003A17C8" w:rsidP="00E463E4">
            <w:pPr>
              <w:jc w:val="center"/>
              <w:rPr>
                <w:rFonts w:cs="Arial"/>
                <w:sz w:val="20"/>
              </w:rPr>
            </w:pPr>
            <w:r>
              <w:rPr>
                <w:rFonts w:cs="Arial"/>
                <w:sz w:val="20"/>
              </w:rPr>
              <w:t>33.3</w:t>
            </w:r>
          </w:p>
        </w:tc>
        <w:tc>
          <w:tcPr>
            <w:tcW w:w="2853" w:type="dxa"/>
            <w:shd w:val="clear" w:color="auto" w:fill="auto"/>
            <w:vAlign w:val="center"/>
          </w:tcPr>
          <w:p w:rsidR="00C5190C" w:rsidRPr="00AB1652" w:rsidRDefault="003A17C8" w:rsidP="00B16DC7">
            <w:pPr>
              <w:jc w:val="center"/>
              <w:rPr>
                <w:rFonts w:cs="Arial"/>
                <w:sz w:val="20"/>
              </w:rPr>
            </w:pPr>
            <w:r>
              <w:rPr>
                <w:rFonts w:cs="Arial"/>
                <w:sz w:val="20"/>
              </w:rPr>
              <w:t>4.4</w:t>
            </w:r>
          </w:p>
        </w:tc>
      </w:tr>
    </w:tbl>
    <w:p w:rsidR="00C16DCA" w:rsidRDefault="00C16DCA">
      <w:pPr>
        <w:rPr>
          <w:sz w:val="20"/>
        </w:rPr>
      </w:pPr>
      <w:r>
        <w:rPr>
          <w:sz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850"/>
        <w:gridCol w:w="759"/>
        <w:gridCol w:w="849"/>
        <w:gridCol w:w="764"/>
        <w:gridCol w:w="849"/>
        <w:gridCol w:w="739"/>
        <w:gridCol w:w="849"/>
        <w:gridCol w:w="741"/>
        <w:gridCol w:w="849"/>
        <w:gridCol w:w="756"/>
        <w:gridCol w:w="849"/>
        <w:gridCol w:w="739"/>
        <w:gridCol w:w="2728"/>
      </w:tblGrid>
      <w:tr w:rsidR="00C16DCA" w:rsidRPr="00AB1652" w:rsidTr="00C71787">
        <w:trPr>
          <w:trHeight w:val="576"/>
        </w:trPr>
        <w:tc>
          <w:tcPr>
            <w:tcW w:w="15176" w:type="dxa"/>
            <w:gridSpan w:val="14"/>
            <w:shd w:val="clear" w:color="auto" w:fill="auto"/>
            <w:vAlign w:val="center"/>
          </w:tcPr>
          <w:p w:rsidR="00C16DCA" w:rsidRPr="00AB1652" w:rsidRDefault="00C16DCA" w:rsidP="00C71787">
            <w:pPr>
              <w:rPr>
                <w:rFonts w:cs="Arial"/>
                <w:b/>
                <w:sz w:val="20"/>
              </w:rPr>
            </w:pPr>
            <w:r>
              <w:rPr>
                <w:rFonts w:cs="Arial"/>
                <w:b/>
                <w:sz w:val="20"/>
              </w:rPr>
              <w:lastRenderedPageBreak/>
              <w:t>Children and Families - Children's Services</w:t>
            </w: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b/>
                <w:sz w:val="20"/>
              </w:rPr>
            </w:pPr>
            <w:r w:rsidRPr="00AB1652">
              <w:rPr>
                <w:rFonts w:cs="Arial"/>
                <w:b/>
                <w:sz w:val="20"/>
              </w:rPr>
              <w:t>Stage</w:t>
            </w:r>
          </w:p>
        </w:tc>
        <w:tc>
          <w:tcPr>
            <w:tcW w:w="1609" w:type="dxa"/>
            <w:gridSpan w:val="2"/>
            <w:shd w:val="clear" w:color="auto" w:fill="auto"/>
            <w:vAlign w:val="center"/>
          </w:tcPr>
          <w:p w:rsidR="00C16DCA" w:rsidRPr="00AB1652" w:rsidRDefault="00C16DCA" w:rsidP="00C71787">
            <w:pPr>
              <w:rPr>
                <w:rFonts w:cs="Arial"/>
                <w:b/>
                <w:sz w:val="20"/>
              </w:rPr>
            </w:pPr>
            <w:r w:rsidRPr="00AB1652">
              <w:rPr>
                <w:rFonts w:cs="Arial"/>
                <w:b/>
                <w:sz w:val="20"/>
              </w:rPr>
              <w:t>Total</w:t>
            </w:r>
          </w:p>
        </w:tc>
        <w:tc>
          <w:tcPr>
            <w:tcW w:w="1613" w:type="dxa"/>
            <w:gridSpan w:val="2"/>
            <w:shd w:val="clear" w:color="auto" w:fill="auto"/>
            <w:vAlign w:val="center"/>
          </w:tcPr>
          <w:p w:rsidR="00C16DCA" w:rsidRPr="00AB1652" w:rsidRDefault="00C16DCA" w:rsidP="00C71787">
            <w:pPr>
              <w:rPr>
                <w:rFonts w:cs="Arial"/>
                <w:b/>
                <w:sz w:val="20"/>
              </w:rPr>
            </w:pPr>
            <w:r w:rsidRPr="00AB1652">
              <w:rPr>
                <w:rFonts w:cs="Arial"/>
                <w:b/>
                <w:sz w:val="20"/>
              </w:rPr>
              <w:t>Within Target</w:t>
            </w:r>
          </w:p>
        </w:tc>
        <w:tc>
          <w:tcPr>
            <w:tcW w:w="1588" w:type="dxa"/>
            <w:gridSpan w:val="2"/>
            <w:shd w:val="clear" w:color="auto" w:fill="auto"/>
            <w:vAlign w:val="center"/>
          </w:tcPr>
          <w:p w:rsidR="00C16DCA" w:rsidRPr="00AB1652" w:rsidRDefault="00C16DCA" w:rsidP="00C71787">
            <w:pPr>
              <w:rPr>
                <w:rFonts w:cs="Arial"/>
                <w:b/>
                <w:sz w:val="20"/>
              </w:rPr>
            </w:pPr>
            <w:r w:rsidRPr="00AB1652">
              <w:rPr>
                <w:rFonts w:cs="Arial"/>
                <w:b/>
                <w:sz w:val="20"/>
              </w:rPr>
              <w:t>With Extension</w:t>
            </w:r>
          </w:p>
        </w:tc>
        <w:tc>
          <w:tcPr>
            <w:tcW w:w="1590" w:type="dxa"/>
            <w:gridSpan w:val="2"/>
            <w:shd w:val="clear" w:color="auto" w:fill="auto"/>
            <w:vAlign w:val="center"/>
          </w:tcPr>
          <w:p w:rsidR="00C16DCA" w:rsidRPr="00AB1652" w:rsidRDefault="00C16DCA" w:rsidP="00C71787">
            <w:pPr>
              <w:rPr>
                <w:rFonts w:cs="Arial"/>
                <w:b/>
                <w:sz w:val="20"/>
              </w:rPr>
            </w:pPr>
            <w:r w:rsidRPr="00AB1652">
              <w:rPr>
                <w:rFonts w:cs="Arial"/>
                <w:b/>
                <w:sz w:val="20"/>
              </w:rPr>
              <w:t>Upheld</w:t>
            </w:r>
          </w:p>
        </w:tc>
        <w:tc>
          <w:tcPr>
            <w:tcW w:w="1605" w:type="dxa"/>
            <w:gridSpan w:val="2"/>
            <w:shd w:val="clear" w:color="auto" w:fill="auto"/>
            <w:vAlign w:val="center"/>
          </w:tcPr>
          <w:p w:rsidR="00C16DCA" w:rsidRPr="00AB1652" w:rsidRDefault="00C16DCA" w:rsidP="00C71787">
            <w:pPr>
              <w:rPr>
                <w:rFonts w:cs="Arial"/>
                <w:b/>
                <w:sz w:val="20"/>
              </w:rPr>
            </w:pPr>
            <w:r w:rsidRPr="00AB1652">
              <w:rPr>
                <w:rFonts w:cs="Arial"/>
                <w:b/>
                <w:sz w:val="20"/>
              </w:rPr>
              <w:t>Not upheld</w:t>
            </w:r>
          </w:p>
        </w:tc>
        <w:tc>
          <w:tcPr>
            <w:tcW w:w="1588" w:type="dxa"/>
            <w:gridSpan w:val="2"/>
            <w:shd w:val="clear" w:color="auto" w:fill="auto"/>
            <w:vAlign w:val="center"/>
          </w:tcPr>
          <w:p w:rsidR="00C16DCA" w:rsidRPr="00AB1652" w:rsidRDefault="00C16DCA" w:rsidP="00C71787">
            <w:pPr>
              <w:rPr>
                <w:rFonts w:cs="Arial"/>
                <w:b/>
                <w:sz w:val="20"/>
              </w:rPr>
            </w:pPr>
            <w:r w:rsidRPr="00AB1652">
              <w:rPr>
                <w:rFonts w:cs="Arial"/>
                <w:b/>
                <w:sz w:val="20"/>
              </w:rPr>
              <w:t xml:space="preserve">Partially upheld </w:t>
            </w:r>
          </w:p>
        </w:tc>
        <w:tc>
          <w:tcPr>
            <w:tcW w:w="2728" w:type="dxa"/>
            <w:shd w:val="clear" w:color="auto" w:fill="auto"/>
            <w:vAlign w:val="center"/>
          </w:tcPr>
          <w:p w:rsidR="00C16DCA" w:rsidRPr="00AB1652" w:rsidRDefault="00C16DCA" w:rsidP="00C71787">
            <w:pPr>
              <w:rPr>
                <w:rFonts w:cs="Arial"/>
                <w:b/>
                <w:sz w:val="20"/>
              </w:rPr>
            </w:pPr>
            <w:r w:rsidRPr="00AB1652">
              <w:rPr>
                <w:rFonts w:cs="Arial"/>
                <w:b/>
                <w:sz w:val="20"/>
              </w:rPr>
              <w:t>Average days to resolve</w:t>
            </w: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b/>
                <w:sz w:val="20"/>
              </w:rPr>
            </w:pPr>
          </w:p>
        </w:tc>
        <w:tc>
          <w:tcPr>
            <w:tcW w:w="850"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59"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64"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39"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41"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56"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39"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2728" w:type="dxa"/>
            <w:shd w:val="clear" w:color="auto" w:fill="auto"/>
            <w:vAlign w:val="center"/>
          </w:tcPr>
          <w:p w:rsidR="00C16DCA" w:rsidRPr="00AB1652" w:rsidRDefault="00C16DCA" w:rsidP="00C71787">
            <w:pPr>
              <w:rPr>
                <w:rFonts w:cs="Arial"/>
                <w:b/>
                <w:sz w:val="20"/>
              </w:rPr>
            </w:pP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sz w:val="20"/>
              </w:rPr>
            </w:pPr>
            <w:r w:rsidRPr="00AB1652">
              <w:rPr>
                <w:rFonts w:cs="Arial"/>
                <w:sz w:val="20"/>
              </w:rPr>
              <w:t>Frontline</w:t>
            </w:r>
          </w:p>
        </w:tc>
        <w:tc>
          <w:tcPr>
            <w:tcW w:w="850" w:type="dxa"/>
            <w:shd w:val="clear" w:color="auto" w:fill="auto"/>
            <w:vAlign w:val="center"/>
          </w:tcPr>
          <w:p w:rsidR="00C16DCA" w:rsidRPr="00AB1652" w:rsidRDefault="00F5144F" w:rsidP="00C71787">
            <w:pPr>
              <w:jc w:val="center"/>
              <w:rPr>
                <w:rFonts w:cs="Arial"/>
                <w:sz w:val="20"/>
              </w:rPr>
            </w:pPr>
            <w:r>
              <w:rPr>
                <w:rFonts w:cs="Arial"/>
                <w:sz w:val="20"/>
              </w:rPr>
              <w:t>18</w:t>
            </w:r>
          </w:p>
        </w:tc>
        <w:tc>
          <w:tcPr>
            <w:tcW w:w="759" w:type="dxa"/>
            <w:shd w:val="clear" w:color="auto" w:fill="auto"/>
            <w:vAlign w:val="center"/>
          </w:tcPr>
          <w:p w:rsidR="00C16DCA" w:rsidRPr="00AB1652" w:rsidRDefault="00F5144F" w:rsidP="00C71787">
            <w:pPr>
              <w:jc w:val="center"/>
              <w:rPr>
                <w:rFonts w:cs="Arial"/>
                <w:sz w:val="20"/>
              </w:rPr>
            </w:pPr>
            <w:r>
              <w:rPr>
                <w:rFonts w:cs="Arial"/>
                <w:sz w:val="20"/>
              </w:rPr>
              <w:t>39.1</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9</w:t>
            </w:r>
          </w:p>
        </w:tc>
        <w:tc>
          <w:tcPr>
            <w:tcW w:w="764" w:type="dxa"/>
            <w:shd w:val="clear" w:color="auto" w:fill="auto"/>
            <w:vAlign w:val="center"/>
          </w:tcPr>
          <w:p w:rsidR="00C16DCA" w:rsidRPr="00AB1652" w:rsidRDefault="00F5144F" w:rsidP="00C71787">
            <w:pPr>
              <w:jc w:val="center"/>
              <w:rPr>
                <w:rFonts w:cs="Arial"/>
                <w:sz w:val="20"/>
              </w:rPr>
            </w:pPr>
            <w:r>
              <w:rPr>
                <w:rFonts w:cs="Arial"/>
                <w:sz w:val="20"/>
              </w:rPr>
              <w:t>50.0</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2</w:t>
            </w:r>
          </w:p>
        </w:tc>
        <w:tc>
          <w:tcPr>
            <w:tcW w:w="739" w:type="dxa"/>
            <w:shd w:val="clear" w:color="auto" w:fill="auto"/>
            <w:vAlign w:val="center"/>
          </w:tcPr>
          <w:p w:rsidR="00C16DCA" w:rsidRPr="00AB1652" w:rsidRDefault="00F5144F" w:rsidP="00C71787">
            <w:pPr>
              <w:jc w:val="center"/>
              <w:rPr>
                <w:rFonts w:cs="Arial"/>
                <w:sz w:val="20"/>
              </w:rPr>
            </w:pPr>
            <w:r>
              <w:rPr>
                <w:rFonts w:cs="Arial"/>
                <w:sz w:val="20"/>
              </w:rPr>
              <w:t>11.1</w:t>
            </w:r>
          </w:p>
        </w:tc>
        <w:tc>
          <w:tcPr>
            <w:tcW w:w="849" w:type="dxa"/>
            <w:shd w:val="clear" w:color="auto" w:fill="auto"/>
            <w:vAlign w:val="center"/>
          </w:tcPr>
          <w:p w:rsidR="00C16DCA" w:rsidRPr="00AB1652" w:rsidRDefault="00C16DCA" w:rsidP="00C71787">
            <w:pPr>
              <w:jc w:val="center"/>
              <w:rPr>
                <w:rFonts w:cs="Arial"/>
                <w:sz w:val="20"/>
              </w:rPr>
            </w:pPr>
          </w:p>
        </w:tc>
        <w:tc>
          <w:tcPr>
            <w:tcW w:w="741"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F5144F" w:rsidP="00C71787">
            <w:pPr>
              <w:jc w:val="center"/>
              <w:rPr>
                <w:rFonts w:cs="Arial"/>
                <w:sz w:val="20"/>
              </w:rPr>
            </w:pPr>
            <w:r>
              <w:rPr>
                <w:rFonts w:cs="Arial"/>
                <w:sz w:val="20"/>
              </w:rPr>
              <w:t>14</w:t>
            </w:r>
          </w:p>
        </w:tc>
        <w:tc>
          <w:tcPr>
            <w:tcW w:w="756" w:type="dxa"/>
            <w:shd w:val="clear" w:color="auto" w:fill="auto"/>
            <w:vAlign w:val="center"/>
          </w:tcPr>
          <w:p w:rsidR="00C16DCA" w:rsidRPr="00AB1652" w:rsidRDefault="00F5144F" w:rsidP="00C71787">
            <w:pPr>
              <w:jc w:val="center"/>
              <w:rPr>
                <w:rFonts w:cs="Arial"/>
                <w:sz w:val="20"/>
              </w:rPr>
            </w:pPr>
            <w:r>
              <w:rPr>
                <w:rFonts w:cs="Arial"/>
                <w:sz w:val="20"/>
              </w:rPr>
              <w:t>77.8</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4</w:t>
            </w:r>
          </w:p>
        </w:tc>
        <w:tc>
          <w:tcPr>
            <w:tcW w:w="739" w:type="dxa"/>
            <w:shd w:val="clear" w:color="auto" w:fill="auto"/>
            <w:vAlign w:val="center"/>
          </w:tcPr>
          <w:p w:rsidR="00C16DCA" w:rsidRPr="00AB1652" w:rsidRDefault="00F5144F" w:rsidP="00C71787">
            <w:pPr>
              <w:jc w:val="center"/>
              <w:rPr>
                <w:rFonts w:cs="Arial"/>
                <w:sz w:val="20"/>
              </w:rPr>
            </w:pPr>
            <w:r>
              <w:rPr>
                <w:rFonts w:cs="Arial"/>
                <w:sz w:val="20"/>
              </w:rPr>
              <w:t>22.2</w:t>
            </w:r>
          </w:p>
        </w:tc>
        <w:tc>
          <w:tcPr>
            <w:tcW w:w="2728" w:type="dxa"/>
            <w:shd w:val="clear" w:color="auto" w:fill="auto"/>
            <w:vAlign w:val="center"/>
          </w:tcPr>
          <w:p w:rsidR="00C16DCA" w:rsidRPr="00AB1652" w:rsidRDefault="00F5144F" w:rsidP="00C71787">
            <w:pPr>
              <w:jc w:val="center"/>
              <w:rPr>
                <w:rFonts w:cs="Arial"/>
                <w:sz w:val="20"/>
              </w:rPr>
            </w:pPr>
            <w:r>
              <w:rPr>
                <w:rFonts w:cs="Arial"/>
                <w:sz w:val="20"/>
              </w:rPr>
              <w:t>6.2</w:t>
            </w: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sz w:val="20"/>
              </w:rPr>
            </w:pPr>
            <w:r w:rsidRPr="00AB1652">
              <w:rPr>
                <w:rFonts w:cs="Arial"/>
                <w:sz w:val="20"/>
              </w:rPr>
              <w:t>Opened at Investigation</w:t>
            </w:r>
          </w:p>
        </w:tc>
        <w:tc>
          <w:tcPr>
            <w:tcW w:w="850" w:type="dxa"/>
            <w:shd w:val="clear" w:color="auto" w:fill="auto"/>
            <w:vAlign w:val="center"/>
          </w:tcPr>
          <w:p w:rsidR="00C16DCA" w:rsidRPr="00AB1652" w:rsidRDefault="00F5144F" w:rsidP="00C71787">
            <w:pPr>
              <w:jc w:val="center"/>
              <w:rPr>
                <w:rFonts w:cs="Arial"/>
                <w:sz w:val="20"/>
              </w:rPr>
            </w:pPr>
            <w:r>
              <w:rPr>
                <w:rFonts w:cs="Arial"/>
                <w:sz w:val="20"/>
              </w:rPr>
              <w:t>25</w:t>
            </w:r>
          </w:p>
        </w:tc>
        <w:tc>
          <w:tcPr>
            <w:tcW w:w="759" w:type="dxa"/>
            <w:shd w:val="clear" w:color="auto" w:fill="auto"/>
            <w:vAlign w:val="center"/>
          </w:tcPr>
          <w:p w:rsidR="00C16DCA" w:rsidRPr="00AB1652" w:rsidRDefault="00F5144F" w:rsidP="00C71787">
            <w:pPr>
              <w:jc w:val="center"/>
              <w:rPr>
                <w:rFonts w:cs="Arial"/>
                <w:sz w:val="20"/>
              </w:rPr>
            </w:pPr>
            <w:r>
              <w:rPr>
                <w:rFonts w:cs="Arial"/>
                <w:sz w:val="20"/>
              </w:rPr>
              <w:t>54.3</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7</w:t>
            </w:r>
          </w:p>
        </w:tc>
        <w:tc>
          <w:tcPr>
            <w:tcW w:w="764" w:type="dxa"/>
            <w:shd w:val="clear" w:color="auto" w:fill="auto"/>
            <w:vAlign w:val="center"/>
          </w:tcPr>
          <w:p w:rsidR="00C16DCA" w:rsidRPr="00AB1652" w:rsidRDefault="00F5144F" w:rsidP="00C71787">
            <w:pPr>
              <w:jc w:val="center"/>
              <w:rPr>
                <w:rFonts w:cs="Arial"/>
                <w:sz w:val="20"/>
              </w:rPr>
            </w:pPr>
            <w:r>
              <w:rPr>
                <w:rFonts w:cs="Arial"/>
                <w:sz w:val="20"/>
              </w:rPr>
              <w:t>28.0</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18</w:t>
            </w:r>
          </w:p>
        </w:tc>
        <w:tc>
          <w:tcPr>
            <w:tcW w:w="739" w:type="dxa"/>
            <w:shd w:val="clear" w:color="auto" w:fill="auto"/>
            <w:vAlign w:val="center"/>
          </w:tcPr>
          <w:p w:rsidR="00C16DCA" w:rsidRPr="00AB1652" w:rsidRDefault="00F5144F" w:rsidP="00C71787">
            <w:pPr>
              <w:jc w:val="center"/>
              <w:rPr>
                <w:rFonts w:cs="Arial"/>
                <w:sz w:val="20"/>
              </w:rPr>
            </w:pPr>
            <w:r>
              <w:rPr>
                <w:rFonts w:cs="Arial"/>
                <w:sz w:val="20"/>
              </w:rPr>
              <w:t>72.0</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2</w:t>
            </w:r>
          </w:p>
        </w:tc>
        <w:tc>
          <w:tcPr>
            <w:tcW w:w="741" w:type="dxa"/>
            <w:shd w:val="clear" w:color="auto" w:fill="auto"/>
            <w:vAlign w:val="center"/>
          </w:tcPr>
          <w:p w:rsidR="00C16DCA" w:rsidRPr="00AB1652" w:rsidRDefault="00F5144F" w:rsidP="00C71787">
            <w:pPr>
              <w:jc w:val="center"/>
              <w:rPr>
                <w:rFonts w:cs="Arial"/>
                <w:sz w:val="20"/>
              </w:rPr>
            </w:pPr>
            <w:r>
              <w:rPr>
                <w:rFonts w:cs="Arial"/>
                <w:sz w:val="20"/>
              </w:rPr>
              <w:t>8.0</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16</w:t>
            </w:r>
          </w:p>
        </w:tc>
        <w:tc>
          <w:tcPr>
            <w:tcW w:w="756" w:type="dxa"/>
            <w:shd w:val="clear" w:color="auto" w:fill="auto"/>
            <w:vAlign w:val="center"/>
          </w:tcPr>
          <w:p w:rsidR="00C16DCA" w:rsidRPr="00AB1652" w:rsidRDefault="00F5144F" w:rsidP="00C71787">
            <w:pPr>
              <w:jc w:val="center"/>
              <w:rPr>
                <w:rFonts w:cs="Arial"/>
                <w:sz w:val="20"/>
              </w:rPr>
            </w:pPr>
            <w:r>
              <w:rPr>
                <w:rFonts w:cs="Arial"/>
                <w:sz w:val="20"/>
              </w:rPr>
              <w:t>64.0</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7</w:t>
            </w:r>
          </w:p>
        </w:tc>
        <w:tc>
          <w:tcPr>
            <w:tcW w:w="739" w:type="dxa"/>
            <w:shd w:val="clear" w:color="auto" w:fill="auto"/>
            <w:vAlign w:val="center"/>
          </w:tcPr>
          <w:p w:rsidR="00C16DCA" w:rsidRPr="00AB1652" w:rsidRDefault="00F5144F" w:rsidP="00C71787">
            <w:pPr>
              <w:jc w:val="center"/>
              <w:rPr>
                <w:rFonts w:cs="Arial"/>
                <w:sz w:val="20"/>
              </w:rPr>
            </w:pPr>
            <w:r>
              <w:rPr>
                <w:rFonts w:cs="Arial"/>
                <w:sz w:val="20"/>
              </w:rPr>
              <w:t>28.0</w:t>
            </w:r>
          </w:p>
        </w:tc>
        <w:tc>
          <w:tcPr>
            <w:tcW w:w="2728" w:type="dxa"/>
            <w:shd w:val="clear" w:color="auto" w:fill="auto"/>
            <w:vAlign w:val="center"/>
          </w:tcPr>
          <w:p w:rsidR="00C16DCA" w:rsidRPr="00AB1652" w:rsidRDefault="00F5144F" w:rsidP="00C71787">
            <w:pPr>
              <w:jc w:val="center"/>
              <w:rPr>
                <w:rFonts w:cs="Arial"/>
                <w:sz w:val="20"/>
              </w:rPr>
            </w:pPr>
            <w:r>
              <w:rPr>
                <w:rFonts w:cs="Arial"/>
                <w:sz w:val="20"/>
              </w:rPr>
              <w:t>27.4</w:t>
            </w: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sz w:val="20"/>
              </w:rPr>
            </w:pPr>
            <w:r w:rsidRPr="00AB1652">
              <w:rPr>
                <w:rFonts w:cs="Arial"/>
                <w:sz w:val="20"/>
              </w:rPr>
              <w:t>Escalated to Investigation</w:t>
            </w:r>
          </w:p>
        </w:tc>
        <w:tc>
          <w:tcPr>
            <w:tcW w:w="850" w:type="dxa"/>
            <w:shd w:val="clear" w:color="auto" w:fill="auto"/>
            <w:vAlign w:val="center"/>
          </w:tcPr>
          <w:p w:rsidR="00C16DCA" w:rsidRPr="00AB1652" w:rsidRDefault="00F5144F" w:rsidP="00C71787">
            <w:pPr>
              <w:jc w:val="center"/>
              <w:rPr>
                <w:rFonts w:cs="Arial"/>
                <w:sz w:val="20"/>
              </w:rPr>
            </w:pPr>
            <w:r>
              <w:rPr>
                <w:rFonts w:cs="Arial"/>
                <w:sz w:val="20"/>
              </w:rPr>
              <w:t>3</w:t>
            </w:r>
          </w:p>
        </w:tc>
        <w:tc>
          <w:tcPr>
            <w:tcW w:w="759" w:type="dxa"/>
            <w:shd w:val="clear" w:color="auto" w:fill="auto"/>
            <w:vAlign w:val="center"/>
          </w:tcPr>
          <w:p w:rsidR="00C16DCA" w:rsidRPr="00AB1652" w:rsidRDefault="00F5144F" w:rsidP="00C71787">
            <w:pPr>
              <w:jc w:val="center"/>
              <w:rPr>
                <w:rFonts w:cs="Arial"/>
                <w:sz w:val="20"/>
              </w:rPr>
            </w:pPr>
            <w:r>
              <w:rPr>
                <w:rFonts w:cs="Arial"/>
                <w:sz w:val="20"/>
              </w:rPr>
              <w:t>6.5</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1</w:t>
            </w:r>
          </w:p>
        </w:tc>
        <w:tc>
          <w:tcPr>
            <w:tcW w:w="764" w:type="dxa"/>
            <w:shd w:val="clear" w:color="auto" w:fill="auto"/>
            <w:vAlign w:val="center"/>
          </w:tcPr>
          <w:p w:rsidR="00C16DCA" w:rsidRPr="00AB1652" w:rsidRDefault="00F5144F" w:rsidP="00C71787">
            <w:pPr>
              <w:jc w:val="center"/>
              <w:rPr>
                <w:rFonts w:cs="Arial"/>
                <w:sz w:val="20"/>
              </w:rPr>
            </w:pPr>
            <w:r>
              <w:rPr>
                <w:rFonts w:cs="Arial"/>
                <w:sz w:val="20"/>
              </w:rPr>
              <w:t>33.3</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2</w:t>
            </w:r>
          </w:p>
        </w:tc>
        <w:tc>
          <w:tcPr>
            <w:tcW w:w="739" w:type="dxa"/>
            <w:shd w:val="clear" w:color="auto" w:fill="auto"/>
            <w:vAlign w:val="center"/>
          </w:tcPr>
          <w:p w:rsidR="00C16DCA" w:rsidRPr="00AB1652" w:rsidRDefault="00F5144F" w:rsidP="00C71787">
            <w:pPr>
              <w:jc w:val="center"/>
              <w:rPr>
                <w:rFonts w:cs="Arial"/>
                <w:sz w:val="20"/>
              </w:rPr>
            </w:pPr>
            <w:r>
              <w:rPr>
                <w:rFonts w:cs="Arial"/>
                <w:sz w:val="20"/>
              </w:rPr>
              <w:t>66.7</w:t>
            </w:r>
          </w:p>
        </w:tc>
        <w:tc>
          <w:tcPr>
            <w:tcW w:w="849" w:type="dxa"/>
            <w:shd w:val="clear" w:color="auto" w:fill="auto"/>
            <w:vAlign w:val="center"/>
          </w:tcPr>
          <w:p w:rsidR="00C16DCA" w:rsidRPr="00AB1652" w:rsidRDefault="00C16DCA" w:rsidP="00C71787">
            <w:pPr>
              <w:jc w:val="center"/>
              <w:rPr>
                <w:rFonts w:cs="Arial"/>
                <w:sz w:val="20"/>
              </w:rPr>
            </w:pPr>
          </w:p>
        </w:tc>
        <w:tc>
          <w:tcPr>
            <w:tcW w:w="741"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F5144F" w:rsidP="00C71787">
            <w:pPr>
              <w:jc w:val="center"/>
              <w:rPr>
                <w:rFonts w:cs="Arial"/>
                <w:sz w:val="20"/>
              </w:rPr>
            </w:pPr>
            <w:r>
              <w:rPr>
                <w:rFonts w:cs="Arial"/>
                <w:sz w:val="20"/>
              </w:rPr>
              <w:t>3</w:t>
            </w:r>
          </w:p>
        </w:tc>
        <w:tc>
          <w:tcPr>
            <w:tcW w:w="756" w:type="dxa"/>
            <w:shd w:val="clear" w:color="auto" w:fill="auto"/>
            <w:vAlign w:val="center"/>
          </w:tcPr>
          <w:p w:rsidR="00C16DCA" w:rsidRPr="00AB1652" w:rsidRDefault="00F5144F" w:rsidP="00C71787">
            <w:pPr>
              <w:jc w:val="center"/>
              <w:rPr>
                <w:rFonts w:cs="Arial"/>
                <w:sz w:val="20"/>
              </w:rPr>
            </w:pPr>
            <w:r>
              <w:rPr>
                <w:rFonts w:cs="Arial"/>
                <w:sz w:val="20"/>
              </w:rPr>
              <w:t>100.0</w:t>
            </w:r>
          </w:p>
        </w:tc>
        <w:tc>
          <w:tcPr>
            <w:tcW w:w="849" w:type="dxa"/>
            <w:shd w:val="clear" w:color="auto" w:fill="auto"/>
            <w:vAlign w:val="center"/>
          </w:tcPr>
          <w:p w:rsidR="00C16DCA" w:rsidRPr="00AB1652" w:rsidRDefault="00C16DCA" w:rsidP="00C71787">
            <w:pPr>
              <w:jc w:val="center"/>
              <w:rPr>
                <w:rFonts w:cs="Arial"/>
                <w:sz w:val="20"/>
              </w:rPr>
            </w:pPr>
          </w:p>
        </w:tc>
        <w:tc>
          <w:tcPr>
            <w:tcW w:w="739" w:type="dxa"/>
            <w:shd w:val="clear" w:color="auto" w:fill="auto"/>
            <w:vAlign w:val="center"/>
          </w:tcPr>
          <w:p w:rsidR="00C16DCA" w:rsidRPr="00AB1652" w:rsidRDefault="00C16DCA" w:rsidP="00C71787">
            <w:pPr>
              <w:jc w:val="center"/>
              <w:rPr>
                <w:rFonts w:cs="Arial"/>
                <w:sz w:val="20"/>
              </w:rPr>
            </w:pPr>
          </w:p>
        </w:tc>
        <w:tc>
          <w:tcPr>
            <w:tcW w:w="2728" w:type="dxa"/>
            <w:shd w:val="clear" w:color="auto" w:fill="auto"/>
            <w:vAlign w:val="center"/>
          </w:tcPr>
          <w:p w:rsidR="00C16DCA" w:rsidRPr="00AB1652" w:rsidRDefault="00F5144F" w:rsidP="00C71787">
            <w:pPr>
              <w:jc w:val="center"/>
              <w:rPr>
                <w:rFonts w:cs="Arial"/>
                <w:sz w:val="20"/>
              </w:rPr>
            </w:pPr>
            <w:r>
              <w:rPr>
                <w:rFonts w:cs="Arial"/>
                <w:sz w:val="20"/>
              </w:rPr>
              <w:t>31.7</w:t>
            </w:r>
          </w:p>
        </w:tc>
      </w:tr>
    </w:tbl>
    <w:p w:rsidR="00C16DCA" w:rsidRDefault="00C16DCA" w:rsidP="00C16DCA">
      <w:pPr>
        <w:rPr>
          <w:sz w:val="20"/>
        </w:rPr>
      </w:pPr>
    </w:p>
    <w:p w:rsidR="00C16DCA" w:rsidRDefault="00C16DCA" w:rsidP="00C16DCA">
      <w:pPr>
        <w:rPr>
          <w:sz w:val="20"/>
        </w:rPr>
      </w:pPr>
    </w:p>
    <w:p w:rsidR="00C16DCA" w:rsidRDefault="00C16DCA" w:rsidP="00C16DCA">
      <w:pPr>
        <w:rPr>
          <w:sz w:val="20"/>
        </w:rPr>
      </w:pPr>
    </w:p>
    <w:p w:rsidR="00C16DCA" w:rsidRDefault="00C16DCA" w:rsidP="00C16DCA">
      <w:pPr>
        <w:rPr>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5"/>
        <w:gridCol w:w="850"/>
        <w:gridCol w:w="759"/>
        <w:gridCol w:w="849"/>
        <w:gridCol w:w="764"/>
        <w:gridCol w:w="849"/>
        <w:gridCol w:w="739"/>
        <w:gridCol w:w="849"/>
        <w:gridCol w:w="741"/>
        <w:gridCol w:w="849"/>
        <w:gridCol w:w="756"/>
        <w:gridCol w:w="849"/>
        <w:gridCol w:w="739"/>
        <w:gridCol w:w="2728"/>
      </w:tblGrid>
      <w:tr w:rsidR="00C16DCA" w:rsidRPr="00AB1652" w:rsidTr="00C71787">
        <w:trPr>
          <w:trHeight w:val="576"/>
        </w:trPr>
        <w:tc>
          <w:tcPr>
            <w:tcW w:w="15176" w:type="dxa"/>
            <w:gridSpan w:val="14"/>
            <w:shd w:val="clear" w:color="auto" w:fill="auto"/>
            <w:vAlign w:val="center"/>
          </w:tcPr>
          <w:p w:rsidR="00C16DCA" w:rsidRPr="00AB1652" w:rsidRDefault="00C16DCA" w:rsidP="00C71787">
            <w:pPr>
              <w:rPr>
                <w:rFonts w:cs="Arial"/>
                <w:b/>
                <w:sz w:val="20"/>
              </w:rPr>
            </w:pPr>
            <w:r>
              <w:rPr>
                <w:rFonts w:cs="Arial"/>
                <w:b/>
                <w:sz w:val="20"/>
              </w:rPr>
              <w:t>Children and Families - Criminal Justice</w:t>
            </w: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b/>
                <w:sz w:val="20"/>
              </w:rPr>
            </w:pPr>
            <w:r w:rsidRPr="00AB1652">
              <w:rPr>
                <w:rFonts w:cs="Arial"/>
                <w:b/>
                <w:sz w:val="20"/>
              </w:rPr>
              <w:t>Stage</w:t>
            </w:r>
          </w:p>
        </w:tc>
        <w:tc>
          <w:tcPr>
            <w:tcW w:w="1609" w:type="dxa"/>
            <w:gridSpan w:val="2"/>
            <w:shd w:val="clear" w:color="auto" w:fill="auto"/>
            <w:vAlign w:val="center"/>
          </w:tcPr>
          <w:p w:rsidR="00C16DCA" w:rsidRPr="00AB1652" w:rsidRDefault="00C16DCA" w:rsidP="00C71787">
            <w:pPr>
              <w:rPr>
                <w:rFonts w:cs="Arial"/>
                <w:b/>
                <w:sz w:val="20"/>
              </w:rPr>
            </w:pPr>
            <w:r w:rsidRPr="00AB1652">
              <w:rPr>
                <w:rFonts w:cs="Arial"/>
                <w:b/>
                <w:sz w:val="20"/>
              </w:rPr>
              <w:t>Total</w:t>
            </w:r>
          </w:p>
        </w:tc>
        <w:tc>
          <w:tcPr>
            <w:tcW w:w="1613" w:type="dxa"/>
            <w:gridSpan w:val="2"/>
            <w:shd w:val="clear" w:color="auto" w:fill="auto"/>
            <w:vAlign w:val="center"/>
          </w:tcPr>
          <w:p w:rsidR="00C16DCA" w:rsidRPr="00AB1652" w:rsidRDefault="00C16DCA" w:rsidP="00C71787">
            <w:pPr>
              <w:rPr>
                <w:rFonts w:cs="Arial"/>
                <w:b/>
                <w:sz w:val="20"/>
              </w:rPr>
            </w:pPr>
            <w:r w:rsidRPr="00AB1652">
              <w:rPr>
                <w:rFonts w:cs="Arial"/>
                <w:b/>
                <w:sz w:val="20"/>
              </w:rPr>
              <w:t>Within Target</w:t>
            </w:r>
          </w:p>
        </w:tc>
        <w:tc>
          <w:tcPr>
            <w:tcW w:w="1588" w:type="dxa"/>
            <w:gridSpan w:val="2"/>
            <w:shd w:val="clear" w:color="auto" w:fill="auto"/>
            <w:vAlign w:val="center"/>
          </w:tcPr>
          <w:p w:rsidR="00C16DCA" w:rsidRPr="00AB1652" w:rsidRDefault="00C16DCA" w:rsidP="00C71787">
            <w:pPr>
              <w:rPr>
                <w:rFonts w:cs="Arial"/>
                <w:b/>
                <w:sz w:val="20"/>
              </w:rPr>
            </w:pPr>
            <w:r w:rsidRPr="00AB1652">
              <w:rPr>
                <w:rFonts w:cs="Arial"/>
                <w:b/>
                <w:sz w:val="20"/>
              </w:rPr>
              <w:t>With Extension</w:t>
            </w:r>
          </w:p>
        </w:tc>
        <w:tc>
          <w:tcPr>
            <w:tcW w:w="1590" w:type="dxa"/>
            <w:gridSpan w:val="2"/>
            <w:shd w:val="clear" w:color="auto" w:fill="auto"/>
            <w:vAlign w:val="center"/>
          </w:tcPr>
          <w:p w:rsidR="00C16DCA" w:rsidRPr="00AB1652" w:rsidRDefault="00C16DCA" w:rsidP="00C71787">
            <w:pPr>
              <w:rPr>
                <w:rFonts w:cs="Arial"/>
                <w:b/>
                <w:sz w:val="20"/>
              </w:rPr>
            </w:pPr>
            <w:r w:rsidRPr="00AB1652">
              <w:rPr>
                <w:rFonts w:cs="Arial"/>
                <w:b/>
                <w:sz w:val="20"/>
              </w:rPr>
              <w:t>Upheld</w:t>
            </w:r>
          </w:p>
        </w:tc>
        <w:tc>
          <w:tcPr>
            <w:tcW w:w="1605" w:type="dxa"/>
            <w:gridSpan w:val="2"/>
            <w:shd w:val="clear" w:color="auto" w:fill="auto"/>
            <w:vAlign w:val="center"/>
          </w:tcPr>
          <w:p w:rsidR="00C16DCA" w:rsidRPr="00AB1652" w:rsidRDefault="00C16DCA" w:rsidP="00C71787">
            <w:pPr>
              <w:rPr>
                <w:rFonts w:cs="Arial"/>
                <w:b/>
                <w:sz w:val="20"/>
              </w:rPr>
            </w:pPr>
            <w:r w:rsidRPr="00AB1652">
              <w:rPr>
                <w:rFonts w:cs="Arial"/>
                <w:b/>
                <w:sz w:val="20"/>
              </w:rPr>
              <w:t>Not upheld</w:t>
            </w:r>
          </w:p>
        </w:tc>
        <w:tc>
          <w:tcPr>
            <w:tcW w:w="1588" w:type="dxa"/>
            <w:gridSpan w:val="2"/>
            <w:shd w:val="clear" w:color="auto" w:fill="auto"/>
            <w:vAlign w:val="center"/>
          </w:tcPr>
          <w:p w:rsidR="00C16DCA" w:rsidRPr="00AB1652" w:rsidRDefault="00C16DCA" w:rsidP="00C71787">
            <w:pPr>
              <w:rPr>
                <w:rFonts w:cs="Arial"/>
                <w:b/>
                <w:sz w:val="20"/>
              </w:rPr>
            </w:pPr>
            <w:r w:rsidRPr="00AB1652">
              <w:rPr>
                <w:rFonts w:cs="Arial"/>
                <w:b/>
                <w:sz w:val="20"/>
              </w:rPr>
              <w:t xml:space="preserve">Partially upheld </w:t>
            </w:r>
          </w:p>
        </w:tc>
        <w:tc>
          <w:tcPr>
            <w:tcW w:w="2728" w:type="dxa"/>
            <w:shd w:val="clear" w:color="auto" w:fill="auto"/>
            <w:vAlign w:val="center"/>
          </w:tcPr>
          <w:p w:rsidR="00C16DCA" w:rsidRPr="00AB1652" w:rsidRDefault="00C16DCA" w:rsidP="00C71787">
            <w:pPr>
              <w:rPr>
                <w:rFonts w:cs="Arial"/>
                <w:b/>
                <w:sz w:val="20"/>
              </w:rPr>
            </w:pPr>
            <w:r w:rsidRPr="00AB1652">
              <w:rPr>
                <w:rFonts w:cs="Arial"/>
                <w:b/>
                <w:sz w:val="20"/>
              </w:rPr>
              <w:t>Average days to resolve</w:t>
            </w: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b/>
                <w:sz w:val="20"/>
              </w:rPr>
            </w:pPr>
          </w:p>
        </w:tc>
        <w:tc>
          <w:tcPr>
            <w:tcW w:w="850"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59"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64"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39"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41"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56"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849" w:type="dxa"/>
            <w:shd w:val="clear" w:color="auto" w:fill="auto"/>
            <w:vAlign w:val="center"/>
          </w:tcPr>
          <w:p w:rsidR="00C16DCA" w:rsidRPr="00AB1652" w:rsidRDefault="00C16DCA" w:rsidP="00C71787">
            <w:pPr>
              <w:rPr>
                <w:rFonts w:cs="Arial"/>
                <w:b/>
                <w:sz w:val="20"/>
              </w:rPr>
            </w:pPr>
            <w:r w:rsidRPr="00AB1652">
              <w:rPr>
                <w:rFonts w:cs="Arial"/>
                <w:b/>
                <w:sz w:val="20"/>
              </w:rPr>
              <w:t>Count</w:t>
            </w:r>
          </w:p>
        </w:tc>
        <w:tc>
          <w:tcPr>
            <w:tcW w:w="739" w:type="dxa"/>
            <w:shd w:val="clear" w:color="auto" w:fill="auto"/>
            <w:vAlign w:val="center"/>
          </w:tcPr>
          <w:p w:rsidR="00C16DCA" w:rsidRPr="00AB1652" w:rsidRDefault="00C16DCA" w:rsidP="00C71787">
            <w:pPr>
              <w:rPr>
                <w:rFonts w:cs="Arial"/>
                <w:b/>
                <w:sz w:val="20"/>
              </w:rPr>
            </w:pPr>
            <w:r w:rsidRPr="00AB1652">
              <w:rPr>
                <w:rFonts w:cs="Arial"/>
                <w:b/>
                <w:sz w:val="20"/>
              </w:rPr>
              <w:t>% age</w:t>
            </w:r>
          </w:p>
        </w:tc>
        <w:tc>
          <w:tcPr>
            <w:tcW w:w="2728" w:type="dxa"/>
            <w:shd w:val="clear" w:color="auto" w:fill="auto"/>
            <w:vAlign w:val="center"/>
          </w:tcPr>
          <w:p w:rsidR="00C16DCA" w:rsidRPr="00AB1652" w:rsidRDefault="00C16DCA" w:rsidP="00C71787">
            <w:pPr>
              <w:rPr>
                <w:rFonts w:cs="Arial"/>
                <w:b/>
                <w:sz w:val="20"/>
              </w:rPr>
            </w:pP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sz w:val="20"/>
              </w:rPr>
            </w:pPr>
            <w:r w:rsidRPr="00AB1652">
              <w:rPr>
                <w:rFonts w:cs="Arial"/>
                <w:sz w:val="20"/>
              </w:rPr>
              <w:t>Frontline</w:t>
            </w:r>
          </w:p>
        </w:tc>
        <w:tc>
          <w:tcPr>
            <w:tcW w:w="850" w:type="dxa"/>
            <w:shd w:val="clear" w:color="auto" w:fill="auto"/>
            <w:vAlign w:val="center"/>
          </w:tcPr>
          <w:p w:rsidR="00C16DCA" w:rsidRPr="00AB1652" w:rsidRDefault="00F5144F" w:rsidP="00C71787">
            <w:pPr>
              <w:jc w:val="center"/>
              <w:rPr>
                <w:rFonts w:cs="Arial"/>
                <w:sz w:val="20"/>
              </w:rPr>
            </w:pPr>
            <w:r>
              <w:rPr>
                <w:rFonts w:cs="Arial"/>
                <w:sz w:val="20"/>
              </w:rPr>
              <w:t>2</w:t>
            </w:r>
          </w:p>
        </w:tc>
        <w:tc>
          <w:tcPr>
            <w:tcW w:w="759" w:type="dxa"/>
            <w:shd w:val="clear" w:color="auto" w:fill="auto"/>
            <w:vAlign w:val="center"/>
          </w:tcPr>
          <w:p w:rsidR="00C16DCA" w:rsidRPr="00AB1652" w:rsidRDefault="00F5144F" w:rsidP="00C71787">
            <w:pPr>
              <w:jc w:val="center"/>
              <w:rPr>
                <w:rFonts w:cs="Arial"/>
                <w:sz w:val="20"/>
              </w:rPr>
            </w:pPr>
            <w:r>
              <w:rPr>
                <w:rFonts w:cs="Arial"/>
                <w:sz w:val="20"/>
              </w:rPr>
              <w:t>66.7</w:t>
            </w:r>
          </w:p>
        </w:tc>
        <w:tc>
          <w:tcPr>
            <w:tcW w:w="849" w:type="dxa"/>
            <w:shd w:val="clear" w:color="auto" w:fill="auto"/>
            <w:vAlign w:val="center"/>
          </w:tcPr>
          <w:p w:rsidR="00C16DCA" w:rsidRPr="00AB1652" w:rsidRDefault="00C16DCA" w:rsidP="00C71787">
            <w:pPr>
              <w:jc w:val="center"/>
              <w:rPr>
                <w:rFonts w:cs="Arial"/>
                <w:sz w:val="20"/>
              </w:rPr>
            </w:pPr>
          </w:p>
        </w:tc>
        <w:tc>
          <w:tcPr>
            <w:tcW w:w="764"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F5144F" w:rsidP="00C71787">
            <w:pPr>
              <w:jc w:val="center"/>
              <w:rPr>
                <w:rFonts w:cs="Arial"/>
                <w:sz w:val="20"/>
              </w:rPr>
            </w:pPr>
            <w:r>
              <w:rPr>
                <w:rFonts w:cs="Arial"/>
                <w:sz w:val="20"/>
              </w:rPr>
              <w:t>1</w:t>
            </w:r>
          </w:p>
        </w:tc>
        <w:tc>
          <w:tcPr>
            <w:tcW w:w="739" w:type="dxa"/>
            <w:shd w:val="clear" w:color="auto" w:fill="auto"/>
            <w:vAlign w:val="center"/>
          </w:tcPr>
          <w:p w:rsidR="00C16DCA" w:rsidRPr="00AB1652" w:rsidRDefault="00F5144F" w:rsidP="00C71787">
            <w:pPr>
              <w:jc w:val="center"/>
              <w:rPr>
                <w:rFonts w:cs="Arial"/>
                <w:sz w:val="20"/>
              </w:rPr>
            </w:pPr>
            <w:r>
              <w:rPr>
                <w:rFonts w:cs="Arial"/>
                <w:sz w:val="20"/>
              </w:rPr>
              <w:t>50.0</w:t>
            </w:r>
          </w:p>
        </w:tc>
        <w:tc>
          <w:tcPr>
            <w:tcW w:w="849" w:type="dxa"/>
            <w:shd w:val="clear" w:color="auto" w:fill="auto"/>
            <w:vAlign w:val="center"/>
          </w:tcPr>
          <w:p w:rsidR="00C16DCA" w:rsidRPr="00AB1652" w:rsidRDefault="00C16DCA" w:rsidP="00C71787">
            <w:pPr>
              <w:jc w:val="center"/>
              <w:rPr>
                <w:rFonts w:cs="Arial"/>
                <w:sz w:val="20"/>
              </w:rPr>
            </w:pPr>
          </w:p>
        </w:tc>
        <w:tc>
          <w:tcPr>
            <w:tcW w:w="741"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12774B" w:rsidP="00C71787">
            <w:pPr>
              <w:jc w:val="center"/>
              <w:rPr>
                <w:rFonts w:cs="Arial"/>
                <w:sz w:val="20"/>
              </w:rPr>
            </w:pPr>
            <w:r>
              <w:rPr>
                <w:rFonts w:cs="Arial"/>
                <w:sz w:val="20"/>
              </w:rPr>
              <w:t>2</w:t>
            </w:r>
          </w:p>
        </w:tc>
        <w:tc>
          <w:tcPr>
            <w:tcW w:w="756" w:type="dxa"/>
            <w:shd w:val="clear" w:color="auto" w:fill="auto"/>
            <w:vAlign w:val="center"/>
          </w:tcPr>
          <w:p w:rsidR="00C16DCA" w:rsidRPr="00AB1652" w:rsidRDefault="0012774B" w:rsidP="00C71787">
            <w:pPr>
              <w:jc w:val="center"/>
              <w:rPr>
                <w:rFonts w:cs="Arial"/>
                <w:sz w:val="20"/>
              </w:rPr>
            </w:pPr>
            <w:r>
              <w:rPr>
                <w:rFonts w:cs="Arial"/>
                <w:sz w:val="20"/>
              </w:rPr>
              <w:t>100.0</w:t>
            </w:r>
          </w:p>
        </w:tc>
        <w:tc>
          <w:tcPr>
            <w:tcW w:w="849" w:type="dxa"/>
            <w:shd w:val="clear" w:color="auto" w:fill="auto"/>
            <w:vAlign w:val="center"/>
          </w:tcPr>
          <w:p w:rsidR="00C16DCA" w:rsidRPr="00AB1652" w:rsidRDefault="00C16DCA" w:rsidP="00C71787">
            <w:pPr>
              <w:jc w:val="center"/>
              <w:rPr>
                <w:rFonts w:cs="Arial"/>
                <w:sz w:val="20"/>
              </w:rPr>
            </w:pPr>
          </w:p>
        </w:tc>
        <w:tc>
          <w:tcPr>
            <w:tcW w:w="739" w:type="dxa"/>
            <w:shd w:val="clear" w:color="auto" w:fill="auto"/>
            <w:vAlign w:val="center"/>
          </w:tcPr>
          <w:p w:rsidR="00C16DCA" w:rsidRPr="00AB1652" w:rsidRDefault="00C16DCA" w:rsidP="00C71787">
            <w:pPr>
              <w:jc w:val="center"/>
              <w:rPr>
                <w:rFonts w:cs="Arial"/>
                <w:sz w:val="20"/>
              </w:rPr>
            </w:pPr>
          </w:p>
        </w:tc>
        <w:tc>
          <w:tcPr>
            <w:tcW w:w="2728" w:type="dxa"/>
            <w:shd w:val="clear" w:color="auto" w:fill="auto"/>
            <w:vAlign w:val="center"/>
          </w:tcPr>
          <w:p w:rsidR="00C16DCA" w:rsidRPr="00AB1652" w:rsidRDefault="0012774B" w:rsidP="00C71787">
            <w:pPr>
              <w:jc w:val="center"/>
              <w:rPr>
                <w:rFonts w:cs="Arial"/>
                <w:sz w:val="20"/>
              </w:rPr>
            </w:pPr>
            <w:r>
              <w:rPr>
                <w:rFonts w:cs="Arial"/>
                <w:sz w:val="20"/>
              </w:rPr>
              <w:t>7.7</w:t>
            </w: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sz w:val="20"/>
              </w:rPr>
            </w:pPr>
            <w:r w:rsidRPr="00AB1652">
              <w:rPr>
                <w:rFonts w:cs="Arial"/>
                <w:sz w:val="20"/>
              </w:rPr>
              <w:t>Opened at Investigation</w:t>
            </w:r>
          </w:p>
        </w:tc>
        <w:tc>
          <w:tcPr>
            <w:tcW w:w="850" w:type="dxa"/>
            <w:shd w:val="clear" w:color="auto" w:fill="auto"/>
            <w:vAlign w:val="center"/>
          </w:tcPr>
          <w:p w:rsidR="00C16DCA" w:rsidRPr="00AB1652" w:rsidRDefault="00F5144F" w:rsidP="00C71787">
            <w:pPr>
              <w:jc w:val="center"/>
              <w:rPr>
                <w:rFonts w:cs="Arial"/>
                <w:sz w:val="20"/>
              </w:rPr>
            </w:pPr>
            <w:r>
              <w:rPr>
                <w:rFonts w:cs="Arial"/>
                <w:sz w:val="20"/>
              </w:rPr>
              <w:t>1</w:t>
            </w:r>
          </w:p>
        </w:tc>
        <w:tc>
          <w:tcPr>
            <w:tcW w:w="759" w:type="dxa"/>
            <w:shd w:val="clear" w:color="auto" w:fill="auto"/>
            <w:vAlign w:val="center"/>
          </w:tcPr>
          <w:p w:rsidR="00C16DCA" w:rsidRPr="00AB1652" w:rsidRDefault="00F5144F" w:rsidP="00C71787">
            <w:pPr>
              <w:jc w:val="center"/>
              <w:rPr>
                <w:rFonts w:cs="Arial"/>
                <w:sz w:val="20"/>
              </w:rPr>
            </w:pPr>
            <w:r>
              <w:rPr>
                <w:rFonts w:cs="Arial"/>
                <w:sz w:val="20"/>
              </w:rPr>
              <w:t>33.3</w:t>
            </w:r>
          </w:p>
        </w:tc>
        <w:tc>
          <w:tcPr>
            <w:tcW w:w="849" w:type="dxa"/>
            <w:shd w:val="clear" w:color="auto" w:fill="auto"/>
            <w:vAlign w:val="center"/>
          </w:tcPr>
          <w:p w:rsidR="00C16DCA" w:rsidRPr="00AB1652" w:rsidRDefault="00F5144F" w:rsidP="00C71787">
            <w:pPr>
              <w:jc w:val="center"/>
              <w:rPr>
                <w:rFonts w:cs="Arial"/>
                <w:sz w:val="20"/>
              </w:rPr>
            </w:pPr>
            <w:r>
              <w:rPr>
                <w:rFonts w:cs="Arial"/>
                <w:sz w:val="20"/>
              </w:rPr>
              <w:t>1</w:t>
            </w:r>
          </w:p>
        </w:tc>
        <w:tc>
          <w:tcPr>
            <w:tcW w:w="764" w:type="dxa"/>
            <w:shd w:val="clear" w:color="auto" w:fill="auto"/>
            <w:vAlign w:val="center"/>
          </w:tcPr>
          <w:p w:rsidR="00C16DCA" w:rsidRPr="00AB1652" w:rsidRDefault="00F5144F" w:rsidP="00C71787">
            <w:pPr>
              <w:jc w:val="center"/>
              <w:rPr>
                <w:rFonts w:cs="Arial"/>
                <w:sz w:val="20"/>
              </w:rPr>
            </w:pPr>
            <w:r>
              <w:rPr>
                <w:rFonts w:cs="Arial"/>
                <w:sz w:val="20"/>
              </w:rPr>
              <w:t>100.0</w:t>
            </w:r>
          </w:p>
        </w:tc>
        <w:tc>
          <w:tcPr>
            <w:tcW w:w="849" w:type="dxa"/>
            <w:shd w:val="clear" w:color="auto" w:fill="auto"/>
            <w:vAlign w:val="center"/>
          </w:tcPr>
          <w:p w:rsidR="00C16DCA" w:rsidRPr="00AB1652" w:rsidRDefault="00C16DCA" w:rsidP="00C71787">
            <w:pPr>
              <w:jc w:val="center"/>
              <w:rPr>
                <w:rFonts w:cs="Arial"/>
                <w:sz w:val="20"/>
              </w:rPr>
            </w:pPr>
          </w:p>
        </w:tc>
        <w:tc>
          <w:tcPr>
            <w:tcW w:w="739"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C16DCA" w:rsidP="00C71787">
            <w:pPr>
              <w:jc w:val="center"/>
              <w:rPr>
                <w:rFonts w:cs="Arial"/>
                <w:sz w:val="20"/>
              </w:rPr>
            </w:pPr>
          </w:p>
        </w:tc>
        <w:tc>
          <w:tcPr>
            <w:tcW w:w="741"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12774B" w:rsidP="00C71787">
            <w:pPr>
              <w:jc w:val="center"/>
              <w:rPr>
                <w:rFonts w:cs="Arial"/>
                <w:sz w:val="20"/>
              </w:rPr>
            </w:pPr>
            <w:r>
              <w:rPr>
                <w:rFonts w:cs="Arial"/>
                <w:sz w:val="20"/>
              </w:rPr>
              <w:t>1</w:t>
            </w:r>
          </w:p>
        </w:tc>
        <w:tc>
          <w:tcPr>
            <w:tcW w:w="756" w:type="dxa"/>
            <w:shd w:val="clear" w:color="auto" w:fill="auto"/>
            <w:vAlign w:val="center"/>
          </w:tcPr>
          <w:p w:rsidR="00C16DCA" w:rsidRPr="00AB1652" w:rsidRDefault="0012774B" w:rsidP="00C71787">
            <w:pPr>
              <w:jc w:val="center"/>
              <w:rPr>
                <w:rFonts w:cs="Arial"/>
                <w:sz w:val="20"/>
              </w:rPr>
            </w:pPr>
            <w:r>
              <w:rPr>
                <w:rFonts w:cs="Arial"/>
                <w:sz w:val="20"/>
              </w:rPr>
              <w:t>100.0</w:t>
            </w:r>
          </w:p>
        </w:tc>
        <w:tc>
          <w:tcPr>
            <w:tcW w:w="849" w:type="dxa"/>
            <w:shd w:val="clear" w:color="auto" w:fill="auto"/>
            <w:vAlign w:val="center"/>
          </w:tcPr>
          <w:p w:rsidR="00C16DCA" w:rsidRPr="00AB1652" w:rsidRDefault="00C16DCA" w:rsidP="00C71787">
            <w:pPr>
              <w:jc w:val="center"/>
              <w:rPr>
                <w:rFonts w:cs="Arial"/>
                <w:sz w:val="20"/>
              </w:rPr>
            </w:pPr>
          </w:p>
        </w:tc>
        <w:tc>
          <w:tcPr>
            <w:tcW w:w="739" w:type="dxa"/>
            <w:shd w:val="clear" w:color="auto" w:fill="auto"/>
            <w:vAlign w:val="center"/>
          </w:tcPr>
          <w:p w:rsidR="00C16DCA" w:rsidRPr="00AB1652" w:rsidRDefault="00C16DCA" w:rsidP="00C71787">
            <w:pPr>
              <w:jc w:val="center"/>
              <w:rPr>
                <w:rFonts w:cs="Arial"/>
                <w:sz w:val="20"/>
              </w:rPr>
            </w:pPr>
          </w:p>
        </w:tc>
        <w:tc>
          <w:tcPr>
            <w:tcW w:w="2728" w:type="dxa"/>
            <w:shd w:val="clear" w:color="auto" w:fill="auto"/>
            <w:vAlign w:val="center"/>
          </w:tcPr>
          <w:p w:rsidR="00C16DCA" w:rsidRPr="00AB1652" w:rsidRDefault="0012774B" w:rsidP="00C71787">
            <w:pPr>
              <w:jc w:val="center"/>
              <w:rPr>
                <w:rFonts w:cs="Arial"/>
                <w:sz w:val="20"/>
              </w:rPr>
            </w:pPr>
            <w:r>
              <w:rPr>
                <w:rFonts w:cs="Arial"/>
                <w:sz w:val="20"/>
              </w:rPr>
              <w:t>8.6</w:t>
            </w:r>
          </w:p>
        </w:tc>
      </w:tr>
      <w:tr w:rsidR="00C16DCA" w:rsidRPr="00AB1652" w:rsidTr="00C71787">
        <w:trPr>
          <w:trHeight w:val="576"/>
        </w:trPr>
        <w:tc>
          <w:tcPr>
            <w:tcW w:w="2855" w:type="dxa"/>
            <w:shd w:val="clear" w:color="auto" w:fill="auto"/>
            <w:vAlign w:val="center"/>
          </w:tcPr>
          <w:p w:rsidR="00C16DCA" w:rsidRPr="00AB1652" w:rsidRDefault="00C16DCA" w:rsidP="00C71787">
            <w:pPr>
              <w:rPr>
                <w:rFonts w:cs="Arial"/>
                <w:sz w:val="20"/>
              </w:rPr>
            </w:pPr>
            <w:r w:rsidRPr="00AB1652">
              <w:rPr>
                <w:rFonts w:cs="Arial"/>
                <w:sz w:val="20"/>
              </w:rPr>
              <w:t>Escalated to Investigation</w:t>
            </w:r>
          </w:p>
        </w:tc>
        <w:tc>
          <w:tcPr>
            <w:tcW w:w="850" w:type="dxa"/>
            <w:shd w:val="clear" w:color="auto" w:fill="auto"/>
            <w:vAlign w:val="center"/>
          </w:tcPr>
          <w:p w:rsidR="00C16DCA" w:rsidRPr="00AB1652" w:rsidRDefault="00C16DCA" w:rsidP="00C71787">
            <w:pPr>
              <w:jc w:val="center"/>
              <w:rPr>
                <w:rFonts w:cs="Arial"/>
                <w:sz w:val="20"/>
              </w:rPr>
            </w:pPr>
          </w:p>
        </w:tc>
        <w:tc>
          <w:tcPr>
            <w:tcW w:w="759"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C16DCA" w:rsidP="00C71787">
            <w:pPr>
              <w:jc w:val="center"/>
              <w:rPr>
                <w:rFonts w:cs="Arial"/>
                <w:sz w:val="20"/>
              </w:rPr>
            </w:pPr>
          </w:p>
        </w:tc>
        <w:tc>
          <w:tcPr>
            <w:tcW w:w="764"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C16DCA" w:rsidP="00C71787">
            <w:pPr>
              <w:jc w:val="center"/>
              <w:rPr>
                <w:rFonts w:cs="Arial"/>
                <w:sz w:val="20"/>
              </w:rPr>
            </w:pPr>
          </w:p>
        </w:tc>
        <w:tc>
          <w:tcPr>
            <w:tcW w:w="739"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C16DCA" w:rsidP="00C71787">
            <w:pPr>
              <w:jc w:val="center"/>
              <w:rPr>
                <w:rFonts w:cs="Arial"/>
                <w:sz w:val="20"/>
              </w:rPr>
            </w:pPr>
          </w:p>
        </w:tc>
        <w:tc>
          <w:tcPr>
            <w:tcW w:w="741"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C16DCA" w:rsidP="00C71787">
            <w:pPr>
              <w:jc w:val="center"/>
              <w:rPr>
                <w:rFonts w:cs="Arial"/>
                <w:sz w:val="20"/>
              </w:rPr>
            </w:pPr>
          </w:p>
        </w:tc>
        <w:tc>
          <w:tcPr>
            <w:tcW w:w="756" w:type="dxa"/>
            <w:shd w:val="clear" w:color="auto" w:fill="auto"/>
            <w:vAlign w:val="center"/>
          </w:tcPr>
          <w:p w:rsidR="00C16DCA" w:rsidRPr="00AB1652" w:rsidRDefault="00C16DCA" w:rsidP="00C71787">
            <w:pPr>
              <w:jc w:val="center"/>
              <w:rPr>
                <w:rFonts w:cs="Arial"/>
                <w:sz w:val="20"/>
              </w:rPr>
            </w:pPr>
          </w:p>
        </w:tc>
        <w:tc>
          <w:tcPr>
            <w:tcW w:w="849" w:type="dxa"/>
            <w:shd w:val="clear" w:color="auto" w:fill="auto"/>
            <w:vAlign w:val="center"/>
          </w:tcPr>
          <w:p w:rsidR="00C16DCA" w:rsidRPr="00AB1652" w:rsidRDefault="00C16DCA" w:rsidP="00C71787">
            <w:pPr>
              <w:jc w:val="center"/>
              <w:rPr>
                <w:rFonts w:cs="Arial"/>
                <w:sz w:val="20"/>
              </w:rPr>
            </w:pPr>
          </w:p>
        </w:tc>
        <w:tc>
          <w:tcPr>
            <w:tcW w:w="739" w:type="dxa"/>
            <w:shd w:val="clear" w:color="auto" w:fill="auto"/>
            <w:vAlign w:val="center"/>
          </w:tcPr>
          <w:p w:rsidR="00C16DCA" w:rsidRPr="00AB1652" w:rsidRDefault="00C16DCA" w:rsidP="00C71787">
            <w:pPr>
              <w:jc w:val="center"/>
              <w:rPr>
                <w:rFonts w:cs="Arial"/>
                <w:sz w:val="20"/>
              </w:rPr>
            </w:pPr>
          </w:p>
        </w:tc>
        <w:tc>
          <w:tcPr>
            <w:tcW w:w="2728" w:type="dxa"/>
            <w:shd w:val="clear" w:color="auto" w:fill="auto"/>
            <w:vAlign w:val="center"/>
          </w:tcPr>
          <w:p w:rsidR="00C16DCA" w:rsidRPr="00AB1652" w:rsidRDefault="00C16DCA" w:rsidP="00C71787">
            <w:pPr>
              <w:jc w:val="center"/>
              <w:rPr>
                <w:rFonts w:cs="Arial"/>
                <w:sz w:val="20"/>
              </w:rPr>
            </w:pPr>
          </w:p>
        </w:tc>
      </w:tr>
    </w:tbl>
    <w:p w:rsidR="00F26BD4" w:rsidRPr="00AB1652" w:rsidRDefault="00F26BD4" w:rsidP="00F26BD4">
      <w:pPr>
        <w:rPr>
          <w:sz w:val="20"/>
        </w:rPr>
      </w:pPr>
      <w:r w:rsidRPr="00AB1652">
        <w:rPr>
          <w:sz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851"/>
        <w:gridCol w:w="740"/>
        <w:gridCol w:w="849"/>
        <w:gridCol w:w="739"/>
        <w:gridCol w:w="849"/>
        <w:gridCol w:w="742"/>
        <w:gridCol w:w="849"/>
        <w:gridCol w:w="736"/>
        <w:gridCol w:w="849"/>
        <w:gridCol w:w="735"/>
        <w:gridCol w:w="849"/>
        <w:gridCol w:w="736"/>
        <w:gridCol w:w="2765"/>
      </w:tblGrid>
      <w:tr w:rsidR="00F26BD4" w:rsidRPr="00AB1652" w:rsidTr="00E463E4">
        <w:trPr>
          <w:trHeight w:val="576"/>
        </w:trPr>
        <w:tc>
          <w:tcPr>
            <w:tcW w:w="15398" w:type="dxa"/>
            <w:gridSpan w:val="14"/>
            <w:shd w:val="clear" w:color="auto" w:fill="auto"/>
            <w:vAlign w:val="center"/>
          </w:tcPr>
          <w:p w:rsidR="00F26BD4" w:rsidRPr="00AB1652" w:rsidRDefault="009D7062" w:rsidP="00E463E4">
            <w:pPr>
              <w:rPr>
                <w:rFonts w:cs="Arial"/>
                <w:b/>
                <w:sz w:val="20"/>
              </w:rPr>
            </w:pPr>
            <w:r w:rsidRPr="00AB1652">
              <w:rPr>
                <w:rFonts w:cs="Arial"/>
                <w:b/>
                <w:sz w:val="20"/>
              </w:rPr>
              <w:lastRenderedPageBreak/>
              <w:t xml:space="preserve">Neighbourhood Services - </w:t>
            </w:r>
            <w:r w:rsidR="00F26BD4" w:rsidRPr="00AB1652">
              <w:rPr>
                <w:rFonts w:cs="Arial"/>
                <w:b/>
                <w:sz w:val="20"/>
              </w:rPr>
              <w:t>Housing</w:t>
            </w:r>
          </w:p>
        </w:tc>
      </w:tr>
      <w:tr w:rsidR="00F26BD4" w:rsidRPr="00AB1652" w:rsidTr="00E463E4">
        <w:trPr>
          <w:trHeight w:val="576"/>
        </w:trPr>
        <w:tc>
          <w:tcPr>
            <w:tcW w:w="2963" w:type="dxa"/>
            <w:shd w:val="clear" w:color="auto" w:fill="auto"/>
            <w:vAlign w:val="center"/>
          </w:tcPr>
          <w:p w:rsidR="00F26BD4" w:rsidRPr="00AB1652" w:rsidRDefault="00AD2E1A" w:rsidP="00E463E4">
            <w:pPr>
              <w:rPr>
                <w:rFonts w:cs="Arial"/>
                <w:b/>
                <w:sz w:val="20"/>
              </w:rPr>
            </w:pPr>
            <w:r w:rsidRPr="00AB1652">
              <w:rPr>
                <w:rFonts w:cs="Arial"/>
                <w:b/>
                <w:sz w:val="20"/>
              </w:rPr>
              <w:t>Stage</w:t>
            </w:r>
          </w:p>
        </w:tc>
        <w:tc>
          <w:tcPr>
            <w:tcW w:w="1600" w:type="dxa"/>
            <w:gridSpan w:val="2"/>
            <w:shd w:val="clear" w:color="auto" w:fill="auto"/>
            <w:vAlign w:val="center"/>
          </w:tcPr>
          <w:p w:rsidR="00F26BD4" w:rsidRPr="00AB1652" w:rsidRDefault="00F26BD4" w:rsidP="00E463E4">
            <w:pPr>
              <w:rPr>
                <w:rFonts w:cs="Arial"/>
                <w:b/>
                <w:sz w:val="20"/>
              </w:rPr>
            </w:pPr>
            <w:r w:rsidRPr="00AB1652">
              <w:rPr>
                <w:rFonts w:cs="Arial"/>
                <w:b/>
                <w:sz w:val="20"/>
              </w:rPr>
              <w:t>Total</w:t>
            </w:r>
          </w:p>
        </w:tc>
        <w:tc>
          <w:tcPr>
            <w:tcW w:w="1598" w:type="dxa"/>
            <w:gridSpan w:val="2"/>
            <w:shd w:val="clear" w:color="auto" w:fill="auto"/>
            <w:vAlign w:val="center"/>
          </w:tcPr>
          <w:p w:rsidR="00F26BD4" w:rsidRPr="00AB1652" w:rsidRDefault="00F26BD4" w:rsidP="00E463E4">
            <w:pPr>
              <w:rPr>
                <w:rFonts w:cs="Arial"/>
                <w:b/>
                <w:sz w:val="20"/>
              </w:rPr>
            </w:pPr>
            <w:r w:rsidRPr="00AB1652">
              <w:rPr>
                <w:rFonts w:cs="Arial"/>
                <w:b/>
                <w:sz w:val="20"/>
              </w:rPr>
              <w:t>Within Target</w:t>
            </w:r>
          </w:p>
        </w:tc>
        <w:tc>
          <w:tcPr>
            <w:tcW w:w="1601" w:type="dxa"/>
            <w:gridSpan w:val="2"/>
            <w:shd w:val="clear" w:color="auto" w:fill="auto"/>
            <w:vAlign w:val="center"/>
          </w:tcPr>
          <w:p w:rsidR="00F26BD4" w:rsidRPr="00AB1652" w:rsidRDefault="00F26BD4" w:rsidP="00E463E4">
            <w:pPr>
              <w:rPr>
                <w:rFonts w:cs="Arial"/>
                <w:b/>
                <w:sz w:val="20"/>
              </w:rPr>
            </w:pPr>
            <w:r w:rsidRPr="00AB1652">
              <w:rPr>
                <w:rFonts w:cs="Arial"/>
                <w:b/>
                <w:sz w:val="20"/>
              </w:rPr>
              <w:t>With Extension</w:t>
            </w:r>
          </w:p>
        </w:tc>
        <w:tc>
          <w:tcPr>
            <w:tcW w:w="1595" w:type="dxa"/>
            <w:gridSpan w:val="2"/>
            <w:shd w:val="clear" w:color="auto" w:fill="auto"/>
            <w:vAlign w:val="center"/>
          </w:tcPr>
          <w:p w:rsidR="00F26BD4" w:rsidRPr="00AB1652" w:rsidRDefault="00F26BD4" w:rsidP="00E463E4">
            <w:pPr>
              <w:rPr>
                <w:rFonts w:cs="Arial"/>
                <w:b/>
                <w:sz w:val="20"/>
              </w:rPr>
            </w:pPr>
            <w:r w:rsidRPr="00AB1652">
              <w:rPr>
                <w:rFonts w:cs="Arial"/>
                <w:b/>
                <w:sz w:val="20"/>
              </w:rPr>
              <w:t>Upheld</w:t>
            </w:r>
          </w:p>
        </w:tc>
        <w:tc>
          <w:tcPr>
            <w:tcW w:w="1593" w:type="dxa"/>
            <w:gridSpan w:val="2"/>
            <w:shd w:val="clear" w:color="auto" w:fill="auto"/>
            <w:vAlign w:val="center"/>
          </w:tcPr>
          <w:p w:rsidR="00F26BD4" w:rsidRPr="00AB1652" w:rsidRDefault="00F26BD4" w:rsidP="00E463E4">
            <w:pPr>
              <w:rPr>
                <w:rFonts w:cs="Arial"/>
                <w:b/>
                <w:sz w:val="20"/>
              </w:rPr>
            </w:pPr>
            <w:r w:rsidRPr="00AB1652">
              <w:rPr>
                <w:rFonts w:cs="Arial"/>
                <w:b/>
                <w:sz w:val="20"/>
              </w:rPr>
              <w:t>Not upheld</w:t>
            </w:r>
          </w:p>
        </w:tc>
        <w:tc>
          <w:tcPr>
            <w:tcW w:w="1595" w:type="dxa"/>
            <w:gridSpan w:val="2"/>
            <w:shd w:val="clear" w:color="auto" w:fill="auto"/>
            <w:vAlign w:val="center"/>
          </w:tcPr>
          <w:p w:rsidR="00F26BD4" w:rsidRPr="00AB1652" w:rsidRDefault="00F26BD4" w:rsidP="00E463E4">
            <w:pPr>
              <w:rPr>
                <w:rFonts w:cs="Arial"/>
                <w:b/>
                <w:sz w:val="20"/>
              </w:rPr>
            </w:pPr>
            <w:r w:rsidRPr="00AB1652">
              <w:rPr>
                <w:rFonts w:cs="Arial"/>
                <w:b/>
                <w:sz w:val="20"/>
              </w:rPr>
              <w:t xml:space="preserve">Partially upheld </w:t>
            </w:r>
          </w:p>
        </w:tc>
        <w:tc>
          <w:tcPr>
            <w:tcW w:w="2853" w:type="dxa"/>
            <w:shd w:val="clear" w:color="auto" w:fill="auto"/>
            <w:vAlign w:val="center"/>
          </w:tcPr>
          <w:p w:rsidR="00F26BD4" w:rsidRPr="00AB1652" w:rsidRDefault="00F26BD4" w:rsidP="00E463E4">
            <w:pPr>
              <w:rPr>
                <w:rFonts w:cs="Arial"/>
                <w:b/>
                <w:sz w:val="20"/>
              </w:rPr>
            </w:pPr>
            <w:r w:rsidRPr="00AB1652">
              <w:rPr>
                <w:rFonts w:cs="Arial"/>
                <w:b/>
                <w:sz w:val="20"/>
              </w:rPr>
              <w:t>Average days to resolve</w:t>
            </w:r>
          </w:p>
        </w:tc>
      </w:tr>
      <w:tr w:rsidR="00F26BD4" w:rsidRPr="00AB1652" w:rsidTr="00E463E4">
        <w:trPr>
          <w:trHeight w:val="576"/>
        </w:trPr>
        <w:tc>
          <w:tcPr>
            <w:tcW w:w="2963" w:type="dxa"/>
            <w:shd w:val="clear" w:color="auto" w:fill="auto"/>
            <w:vAlign w:val="center"/>
          </w:tcPr>
          <w:p w:rsidR="00F26BD4" w:rsidRPr="00AB1652" w:rsidRDefault="00F26BD4" w:rsidP="00E463E4">
            <w:pPr>
              <w:rPr>
                <w:rFonts w:cs="Arial"/>
                <w:b/>
                <w:sz w:val="20"/>
              </w:rPr>
            </w:pPr>
          </w:p>
        </w:tc>
        <w:tc>
          <w:tcPr>
            <w:tcW w:w="853"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7"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6"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9"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3"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1"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3"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2853" w:type="dxa"/>
            <w:shd w:val="clear" w:color="auto" w:fill="auto"/>
            <w:vAlign w:val="center"/>
          </w:tcPr>
          <w:p w:rsidR="00F26BD4" w:rsidRPr="00AB1652" w:rsidRDefault="00F26BD4" w:rsidP="00E463E4">
            <w:pPr>
              <w:rPr>
                <w:rFonts w:cs="Arial"/>
                <w:b/>
                <w:sz w:val="20"/>
              </w:rPr>
            </w:pPr>
          </w:p>
        </w:tc>
      </w:tr>
      <w:tr w:rsidR="00F26BD4" w:rsidRPr="00AB1652" w:rsidTr="00E463E4">
        <w:trPr>
          <w:trHeight w:val="576"/>
        </w:trPr>
        <w:tc>
          <w:tcPr>
            <w:tcW w:w="2963" w:type="dxa"/>
            <w:shd w:val="clear" w:color="auto" w:fill="auto"/>
            <w:vAlign w:val="center"/>
          </w:tcPr>
          <w:p w:rsidR="00F26BD4" w:rsidRPr="00AB1652" w:rsidRDefault="00F26BD4" w:rsidP="00E463E4">
            <w:pPr>
              <w:rPr>
                <w:rFonts w:cs="Arial"/>
                <w:sz w:val="20"/>
              </w:rPr>
            </w:pPr>
            <w:r w:rsidRPr="00AB1652">
              <w:rPr>
                <w:rFonts w:cs="Arial"/>
                <w:sz w:val="20"/>
              </w:rPr>
              <w:t>Frontline</w:t>
            </w:r>
          </w:p>
        </w:tc>
        <w:tc>
          <w:tcPr>
            <w:tcW w:w="853" w:type="dxa"/>
            <w:shd w:val="clear" w:color="auto" w:fill="auto"/>
            <w:vAlign w:val="center"/>
          </w:tcPr>
          <w:p w:rsidR="00F26BD4" w:rsidRPr="00AB1652" w:rsidRDefault="005531E3" w:rsidP="00E463E4">
            <w:pPr>
              <w:jc w:val="center"/>
              <w:rPr>
                <w:rFonts w:cs="Arial"/>
                <w:sz w:val="20"/>
              </w:rPr>
            </w:pPr>
            <w:r>
              <w:rPr>
                <w:rFonts w:cs="Arial"/>
                <w:sz w:val="20"/>
              </w:rPr>
              <w:t>142</w:t>
            </w:r>
          </w:p>
        </w:tc>
        <w:tc>
          <w:tcPr>
            <w:tcW w:w="747" w:type="dxa"/>
            <w:shd w:val="clear" w:color="auto" w:fill="auto"/>
            <w:vAlign w:val="center"/>
          </w:tcPr>
          <w:p w:rsidR="00F26BD4" w:rsidRPr="00AB1652" w:rsidRDefault="005531E3" w:rsidP="00E463E4">
            <w:pPr>
              <w:jc w:val="center"/>
              <w:rPr>
                <w:rFonts w:cs="Arial"/>
                <w:sz w:val="20"/>
              </w:rPr>
            </w:pPr>
            <w:r>
              <w:rPr>
                <w:rFonts w:cs="Arial"/>
                <w:sz w:val="20"/>
              </w:rPr>
              <w:t>78.9</w:t>
            </w:r>
          </w:p>
        </w:tc>
        <w:tc>
          <w:tcPr>
            <w:tcW w:w="852" w:type="dxa"/>
            <w:shd w:val="clear" w:color="auto" w:fill="auto"/>
            <w:vAlign w:val="center"/>
          </w:tcPr>
          <w:p w:rsidR="00F26BD4" w:rsidRPr="00AB1652" w:rsidRDefault="005531E3" w:rsidP="00E463E4">
            <w:pPr>
              <w:jc w:val="center"/>
              <w:rPr>
                <w:rFonts w:cs="Arial"/>
                <w:sz w:val="20"/>
              </w:rPr>
            </w:pPr>
            <w:r>
              <w:rPr>
                <w:rFonts w:cs="Arial"/>
                <w:sz w:val="20"/>
              </w:rPr>
              <w:t>108</w:t>
            </w:r>
          </w:p>
        </w:tc>
        <w:tc>
          <w:tcPr>
            <w:tcW w:w="746" w:type="dxa"/>
            <w:shd w:val="clear" w:color="auto" w:fill="auto"/>
            <w:vAlign w:val="center"/>
          </w:tcPr>
          <w:p w:rsidR="00F26BD4" w:rsidRPr="00AB1652" w:rsidRDefault="005531E3" w:rsidP="00E463E4">
            <w:pPr>
              <w:jc w:val="center"/>
              <w:rPr>
                <w:rFonts w:cs="Arial"/>
                <w:sz w:val="20"/>
              </w:rPr>
            </w:pPr>
            <w:r>
              <w:rPr>
                <w:rFonts w:cs="Arial"/>
                <w:sz w:val="20"/>
              </w:rPr>
              <w:t>76.1</w:t>
            </w:r>
          </w:p>
        </w:tc>
        <w:tc>
          <w:tcPr>
            <w:tcW w:w="852" w:type="dxa"/>
            <w:shd w:val="clear" w:color="auto" w:fill="auto"/>
            <w:vAlign w:val="center"/>
          </w:tcPr>
          <w:p w:rsidR="00F26BD4" w:rsidRPr="00AB1652" w:rsidRDefault="005531E3" w:rsidP="00E463E4">
            <w:pPr>
              <w:jc w:val="center"/>
              <w:rPr>
                <w:rFonts w:cs="Arial"/>
                <w:sz w:val="20"/>
              </w:rPr>
            </w:pPr>
            <w:r>
              <w:rPr>
                <w:rFonts w:cs="Arial"/>
                <w:sz w:val="20"/>
              </w:rPr>
              <w:t>16</w:t>
            </w:r>
          </w:p>
        </w:tc>
        <w:tc>
          <w:tcPr>
            <w:tcW w:w="749" w:type="dxa"/>
            <w:shd w:val="clear" w:color="auto" w:fill="auto"/>
            <w:vAlign w:val="center"/>
          </w:tcPr>
          <w:p w:rsidR="00F26BD4" w:rsidRPr="00AB1652" w:rsidRDefault="005531E3" w:rsidP="00E463E4">
            <w:pPr>
              <w:jc w:val="center"/>
              <w:rPr>
                <w:rFonts w:cs="Arial"/>
                <w:sz w:val="20"/>
              </w:rPr>
            </w:pPr>
            <w:r>
              <w:rPr>
                <w:rFonts w:cs="Arial"/>
                <w:sz w:val="20"/>
              </w:rPr>
              <w:t>11.3</w:t>
            </w:r>
          </w:p>
        </w:tc>
        <w:tc>
          <w:tcPr>
            <w:tcW w:w="852" w:type="dxa"/>
            <w:shd w:val="clear" w:color="auto" w:fill="auto"/>
            <w:vAlign w:val="center"/>
          </w:tcPr>
          <w:p w:rsidR="00F26BD4" w:rsidRPr="00AB1652" w:rsidRDefault="005531E3" w:rsidP="00E463E4">
            <w:pPr>
              <w:jc w:val="center"/>
              <w:rPr>
                <w:rFonts w:cs="Arial"/>
                <w:sz w:val="20"/>
              </w:rPr>
            </w:pPr>
            <w:r>
              <w:rPr>
                <w:rFonts w:cs="Arial"/>
                <w:sz w:val="20"/>
              </w:rPr>
              <w:t>40</w:t>
            </w:r>
          </w:p>
        </w:tc>
        <w:tc>
          <w:tcPr>
            <w:tcW w:w="743" w:type="dxa"/>
            <w:shd w:val="clear" w:color="auto" w:fill="auto"/>
            <w:vAlign w:val="center"/>
          </w:tcPr>
          <w:p w:rsidR="00F26BD4" w:rsidRPr="00AB1652" w:rsidRDefault="005531E3" w:rsidP="00E463E4">
            <w:pPr>
              <w:jc w:val="center"/>
              <w:rPr>
                <w:rFonts w:cs="Arial"/>
                <w:sz w:val="20"/>
              </w:rPr>
            </w:pPr>
            <w:r>
              <w:rPr>
                <w:rFonts w:cs="Arial"/>
                <w:sz w:val="20"/>
              </w:rPr>
              <w:t>28.2</w:t>
            </w:r>
          </w:p>
        </w:tc>
        <w:tc>
          <w:tcPr>
            <w:tcW w:w="852" w:type="dxa"/>
            <w:shd w:val="clear" w:color="auto" w:fill="auto"/>
            <w:vAlign w:val="center"/>
          </w:tcPr>
          <w:p w:rsidR="00F26BD4" w:rsidRPr="00AB1652" w:rsidRDefault="00333F62" w:rsidP="00E463E4">
            <w:pPr>
              <w:jc w:val="center"/>
              <w:rPr>
                <w:rFonts w:cs="Arial"/>
                <w:sz w:val="20"/>
              </w:rPr>
            </w:pPr>
            <w:r>
              <w:rPr>
                <w:rFonts w:cs="Arial"/>
                <w:sz w:val="20"/>
              </w:rPr>
              <w:t>83</w:t>
            </w:r>
          </w:p>
        </w:tc>
        <w:tc>
          <w:tcPr>
            <w:tcW w:w="741" w:type="dxa"/>
            <w:shd w:val="clear" w:color="auto" w:fill="auto"/>
            <w:vAlign w:val="center"/>
          </w:tcPr>
          <w:p w:rsidR="00F26BD4" w:rsidRPr="00AB1652" w:rsidRDefault="00333F62" w:rsidP="00E463E4">
            <w:pPr>
              <w:jc w:val="center"/>
              <w:rPr>
                <w:rFonts w:cs="Arial"/>
                <w:sz w:val="20"/>
              </w:rPr>
            </w:pPr>
            <w:r>
              <w:rPr>
                <w:rFonts w:cs="Arial"/>
                <w:sz w:val="20"/>
              </w:rPr>
              <w:t>58.5</w:t>
            </w:r>
          </w:p>
        </w:tc>
        <w:tc>
          <w:tcPr>
            <w:tcW w:w="852" w:type="dxa"/>
            <w:shd w:val="clear" w:color="auto" w:fill="auto"/>
            <w:vAlign w:val="center"/>
          </w:tcPr>
          <w:p w:rsidR="00F26BD4" w:rsidRPr="00AB1652" w:rsidRDefault="00333F62" w:rsidP="00E463E4">
            <w:pPr>
              <w:jc w:val="center"/>
              <w:rPr>
                <w:rFonts w:cs="Arial"/>
                <w:sz w:val="20"/>
              </w:rPr>
            </w:pPr>
            <w:r>
              <w:rPr>
                <w:rFonts w:cs="Arial"/>
                <w:sz w:val="20"/>
              </w:rPr>
              <w:t>19</w:t>
            </w:r>
          </w:p>
        </w:tc>
        <w:tc>
          <w:tcPr>
            <w:tcW w:w="743" w:type="dxa"/>
            <w:shd w:val="clear" w:color="auto" w:fill="auto"/>
            <w:vAlign w:val="center"/>
          </w:tcPr>
          <w:p w:rsidR="00F26BD4" w:rsidRPr="00AB1652" w:rsidRDefault="00333F62" w:rsidP="00E463E4">
            <w:pPr>
              <w:jc w:val="center"/>
              <w:rPr>
                <w:rFonts w:cs="Arial"/>
                <w:sz w:val="20"/>
              </w:rPr>
            </w:pPr>
            <w:r>
              <w:rPr>
                <w:rFonts w:cs="Arial"/>
                <w:sz w:val="20"/>
              </w:rPr>
              <w:t>13.4</w:t>
            </w:r>
          </w:p>
        </w:tc>
        <w:tc>
          <w:tcPr>
            <w:tcW w:w="2853" w:type="dxa"/>
            <w:shd w:val="clear" w:color="auto" w:fill="auto"/>
            <w:vAlign w:val="center"/>
          </w:tcPr>
          <w:p w:rsidR="00F26BD4" w:rsidRPr="00AB1652" w:rsidRDefault="00333F62" w:rsidP="00B16DC7">
            <w:pPr>
              <w:jc w:val="center"/>
              <w:rPr>
                <w:rFonts w:cs="Arial"/>
                <w:sz w:val="20"/>
              </w:rPr>
            </w:pPr>
            <w:r>
              <w:rPr>
                <w:rFonts w:cs="Arial"/>
                <w:sz w:val="20"/>
              </w:rPr>
              <w:t>3.7</w:t>
            </w:r>
          </w:p>
        </w:tc>
      </w:tr>
      <w:tr w:rsidR="00F26BD4" w:rsidRPr="00AB1652" w:rsidTr="00E463E4">
        <w:trPr>
          <w:trHeight w:val="576"/>
        </w:trPr>
        <w:tc>
          <w:tcPr>
            <w:tcW w:w="2963" w:type="dxa"/>
            <w:shd w:val="clear" w:color="auto" w:fill="auto"/>
            <w:vAlign w:val="center"/>
          </w:tcPr>
          <w:p w:rsidR="00F26BD4" w:rsidRPr="00AB1652" w:rsidRDefault="000F4600" w:rsidP="00E463E4">
            <w:pPr>
              <w:rPr>
                <w:rFonts w:cs="Arial"/>
                <w:sz w:val="20"/>
              </w:rPr>
            </w:pPr>
            <w:r w:rsidRPr="00AB1652">
              <w:rPr>
                <w:rFonts w:cs="Arial"/>
                <w:sz w:val="20"/>
              </w:rPr>
              <w:t xml:space="preserve">Opened at </w:t>
            </w:r>
            <w:r w:rsidR="00F26BD4" w:rsidRPr="00AB1652">
              <w:rPr>
                <w:rFonts w:cs="Arial"/>
                <w:sz w:val="20"/>
              </w:rPr>
              <w:t>Investigation</w:t>
            </w:r>
          </w:p>
        </w:tc>
        <w:tc>
          <w:tcPr>
            <w:tcW w:w="853" w:type="dxa"/>
            <w:shd w:val="clear" w:color="auto" w:fill="auto"/>
            <w:vAlign w:val="center"/>
          </w:tcPr>
          <w:p w:rsidR="00F26BD4" w:rsidRPr="00AB1652" w:rsidRDefault="005531E3" w:rsidP="00E463E4">
            <w:pPr>
              <w:jc w:val="center"/>
              <w:rPr>
                <w:rFonts w:cs="Arial"/>
                <w:sz w:val="20"/>
              </w:rPr>
            </w:pPr>
            <w:r>
              <w:rPr>
                <w:rFonts w:cs="Arial"/>
                <w:sz w:val="20"/>
              </w:rPr>
              <w:t>9</w:t>
            </w:r>
          </w:p>
        </w:tc>
        <w:tc>
          <w:tcPr>
            <w:tcW w:w="747" w:type="dxa"/>
            <w:shd w:val="clear" w:color="auto" w:fill="auto"/>
            <w:vAlign w:val="center"/>
          </w:tcPr>
          <w:p w:rsidR="00F26BD4" w:rsidRPr="00AB1652" w:rsidRDefault="005531E3" w:rsidP="00E463E4">
            <w:pPr>
              <w:jc w:val="center"/>
              <w:rPr>
                <w:rFonts w:cs="Arial"/>
                <w:sz w:val="20"/>
              </w:rPr>
            </w:pPr>
            <w:r>
              <w:rPr>
                <w:rFonts w:cs="Arial"/>
                <w:sz w:val="20"/>
              </w:rPr>
              <w:t>5.0</w:t>
            </w:r>
          </w:p>
        </w:tc>
        <w:tc>
          <w:tcPr>
            <w:tcW w:w="852" w:type="dxa"/>
            <w:shd w:val="clear" w:color="auto" w:fill="auto"/>
            <w:vAlign w:val="center"/>
          </w:tcPr>
          <w:p w:rsidR="00F26BD4" w:rsidRPr="00AB1652" w:rsidRDefault="005531E3" w:rsidP="00E463E4">
            <w:pPr>
              <w:jc w:val="center"/>
              <w:rPr>
                <w:rFonts w:cs="Arial"/>
                <w:sz w:val="20"/>
              </w:rPr>
            </w:pPr>
            <w:r>
              <w:rPr>
                <w:rFonts w:cs="Arial"/>
                <w:sz w:val="20"/>
              </w:rPr>
              <w:t>7</w:t>
            </w:r>
          </w:p>
        </w:tc>
        <w:tc>
          <w:tcPr>
            <w:tcW w:w="746" w:type="dxa"/>
            <w:shd w:val="clear" w:color="auto" w:fill="auto"/>
            <w:vAlign w:val="center"/>
          </w:tcPr>
          <w:p w:rsidR="00F26BD4" w:rsidRPr="00AB1652" w:rsidRDefault="005531E3" w:rsidP="00E463E4">
            <w:pPr>
              <w:jc w:val="center"/>
              <w:rPr>
                <w:rFonts w:cs="Arial"/>
                <w:sz w:val="20"/>
              </w:rPr>
            </w:pPr>
            <w:r>
              <w:rPr>
                <w:rFonts w:cs="Arial"/>
                <w:sz w:val="20"/>
              </w:rPr>
              <w:t>77.8</w:t>
            </w:r>
          </w:p>
        </w:tc>
        <w:tc>
          <w:tcPr>
            <w:tcW w:w="852" w:type="dxa"/>
            <w:shd w:val="clear" w:color="auto" w:fill="auto"/>
            <w:vAlign w:val="center"/>
          </w:tcPr>
          <w:p w:rsidR="00F26BD4" w:rsidRPr="00AB1652" w:rsidRDefault="005531E3" w:rsidP="00E463E4">
            <w:pPr>
              <w:jc w:val="center"/>
              <w:rPr>
                <w:rFonts w:cs="Arial"/>
                <w:sz w:val="20"/>
              </w:rPr>
            </w:pPr>
            <w:r>
              <w:rPr>
                <w:rFonts w:cs="Arial"/>
                <w:sz w:val="20"/>
              </w:rPr>
              <w:t>1</w:t>
            </w:r>
          </w:p>
        </w:tc>
        <w:tc>
          <w:tcPr>
            <w:tcW w:w="749" w:type="dxa"/>
            <w:shd w:val="clear" w:color="auto" w:fill="auto"/>
            <w:vAlign w:val="center"/>
          </w:tcPr>
          <w:p w:rsidR="00F26BD4" w:rsidRPr="00AB1652" w:rsidRDefault="005531E3" w:rsidP="00E463E4">
            <w:pPr>
              <w:jc w:val="center"/>
              <w:rPr>
                <w:rFonts w:cs="Arial"/>
                <w:sz w:val="20"/>
              </w:rPr>
            </w:pPr>
            <w:r>
              <w:rPr>
                <w:rFonts w:cs="Arial"/>
                <w:sz w:val="20"/>
              </w:rPr>
              <w:t>11.1</w:t>
            </w:r>
          </w:p>
        </w:tc>
        <w:tc>
          <w:tcPr>
            <w:tcW w:w="852" w:type="dxa"/>
            <w:shd w:val="clear" w:color="auto" w:fill="auto"/>
            <w:vAlign w:val="center"/>
          </w:tcPr>
          <w:p w:rsidR="00F26BD4" w:rsidRPr="00AB1652" w:rsidRDefault="005531E3" w:rsidP="00E463E4">
            <w:pPr>
              <w:jc w:val="center"/>
              <w:rPr>
                <w:rFonts w:cs="Arial"/>
                <w:sz w:val="20"/>
              </w:rPr>
            </w:pPr>
            <w:r>
              <w:rPr>
                <w:rFonts w:cs="Arial"/>
                <w:sz w:val="20"/>
              </w:rPr>
              <w:t>2</w:t>
            </w:r>
          </w:p>
        </w:tc>
        <w:tc>
          <w:tcPr>
            <w:tcW w:w="743" w:type="dxa"/>
            <w:shd w:val="clear" w:color="auto" w:fill="auto"/>
            <w:vAlign w:val="center"/>
          </w:tcPr>
          <w:p w:rsidR="00F26BD4" w:rsidRPr="00AB1652" w:rsidRDefault="005531E3" w:rsidP="00E463E4">
            <w:pPr>
              <w:jc w:val="center"/>
              <w:rPr>
                <w:rFonts w:cs="Arial"/>
                <w:sz w:val="20"/>
              </w:rPr>
            </w:pPr>
            <w:r>
              <w:rPr>
                <w:rFonts w:cs="Arial"/>
                <w:sz w:val="20"/>
              </w:rPr>
              <w:t>22.2</w:t>
            </w:r>
          </w:p>
        </w:tc>
        <w:tc>
          <w:tcPr>
            <w:tcW w:w="852" w:type="dxa"/>
            <w:shd w:val="clear" w:color="auto" w:fill="auto"/>
            <w:vAlign w:val="center"/>
          </w:tcPr>
          <w:p w:rsidR="00F26BD4" w:rsidRPr="00AB1652" w:rsidRDefault="00333F62" w:rsidP="00E463E4">
            <w:pPr>
              <w:jc w:val="center"/>
              <w:rPr>
                <w:rFonts w:cs="Arial"/>
                <w:sz w:val="20"/>
              </w:rPr>
            </w:pPr>
            <w:r>
              <w:rPr>
                <w:rFonts w:cs="Arial"/>
                <w:sz w:val="20"/>
              </w:rPr>
              <w:t>4</w:t>
            </w:r>
          </w:p>
        </w:tc>
        <w:tc>
          <w:tcPr>
            <w:tcW w:w="741" w:type="dxa"/>
            <w:shd w:val="clear" w:color="auto" w:fill="auto"/>
            <w:vAlign w:val="center"/>
          </w:tcPr>
          <w:p w:rsidR="00F26BD4" w:rsidRPr="00AB1652" w:rsidRDefault="00333F62" w:rsidP="00E463E4">
            <w:pPr>
              <w:jc w:val="center"/>
              <w:rPr>
                <w:rFonts w:cs="Arial"/>
                <w:sz w:val="20"/>
              </w:rPr>
            </w:pPr>
            <w:r>
              <w:rPr>
                <w:rFonts w:cs="Arial"/>
                <w:sz w:val="20"/>
              </w:rPr>
              <w:t>44.4</w:t>
            </w:r>
          </w:p>
        </w:tc>
        <w:tc>
          <w:tcPr>
            <w:tcW w:w="852" w:type="dxa"/>
            <w:shd w:val="clear" w:color="auto" w:fill="auto"/>
            <w:vAlign w:val="center"/>
          </w:tcPr>
          <w:p w:rsidR="00F26BD4" w:rsidRPr="00AB1652" w:rsidRDefault="00333F62" w:rsidP="00E463E4">
            <w:pPr>
              <w:jc w:val="center"/>
              <w:rPr>
                <w:rFonts w:cs="Arial"/>
                <w:sz w:val="20"/>
              </w:rPr>
            </w:pPr>
            <w:r>
              <w:rPr>
                <w:rFonts w:cs="Arial"/>
                <w:sz w:val="20"/>
              </w:rPr>
              <w:t>3</w:t>
            </w:r>
          </w:p>
        </w:tc>
        <w:tc>
          <w:tcPr>
            <w:tcW w:w="743" w:type="dxa"/>
            <w:shd w:val="clear" w:color="auto" w:fill="auto"/>
            <w:vAlign w:val="center"/>
          </w:tcPr>
          <w:p w:rsidR="00F26BD4" w:rsidRPr="00AB1652" w:rsidRDefault="00333F62" w:rsidP="00E463E4">
            <w:pPr>
              <w:jc w:val="center"/>
              <w:rPr>
                <w:rFonts w:cs="Arial"/>
                <w:sz w:val="20"/>
              </w:rPr>
            </w:pPr>
            <w:r>
              <w:rPr>
                <w:rFonts w:cs="Arial"/>
                <w:sz w:val="20"/>
              </w:rPr>
              <w:t>33.3</w:t>
            </w:r>
          </w:p>
        </w:tc>
        <w:tc>
          <w:tcPr>
            <w:tcW w:w="2853" w:type="dxa"/>
            <w:shd w:val="clear" w:color="auto" w:fill="auto"/>
            <w:vAlign w:val="center"/>
          </w:tcPr>
          <w:p w:rsidR="00F26BD4" w:rsidRPr="00AB1652" w:rsidRDefault="00333F62" w:rsidP="00B16DC7">
            <w:pPr>
              <w:jc w:val="center"/>
              <w:rPr>
                <w:rFonts w:cs="Arial"/>
                <w:sz w:val="20"/>
              </w:rPr>
            </w:pPr>
            <w:r>
              <w:rPr>
                <w:rFonts w:cs="Arial"/>
                <w:sz w:val="20"/>
              </w:rPr>
              <w:t>13.0</w:t>
            </w:r>
          </w:p>
        </w:tc>
      </w:tr>
      <w:tr w:rsidR="000F4600" w:rsidRPr="00AB1652" w:rsidTr="00E463E4">
        <w:trPr>
          <w:trHeight w:val="576"/>
        </w:trPr>
        <w:tc>
          <w:tcPr>
            <w:tcW w:w="2963" w:type="dxa"/>
            <w:shd w:val="clear" w:color="auto" w:fill="auto"/>
            <w:vAlign w:val="center"/>
          </w:tcPr>
          <w:p w:rsidR="000F4600" w:rsidRPr="00AB1652" w:rsidRDefault="000F4600" w:rsidP="00E463E4">
            <w:pPr>
              <w:rPr>
                <w:rFonts w:cs="Arial"/>
                <w:sz w:val="20"/>
              </w:rPr>
            </w:pPr>
            <w:r w:rsidRPr="00AB1652">
              <w:rPr>
                <w:rFonts w:cs="Arial"/>
                <w:sz w:val="20"/>
              </w:rPr>
              <w:t>Escalated to Investigation</w:t>
            </w:r>
          </w:p>
        </w:tc>
        <w:tc>
          <w:tcPr>
            <w:tcW w:w="853" w:type="dxa"/>
            <w:shd w:val="clear" w:color="auto" w:fill="auto"/>
            <w:vAlign w:val="center"/>
          </w:tcPr>
          <w:p w:rsidR="000F4600" w:rsidRPr="00AB1652" w:rsidRDefault="005531E3" w:rsidP="00E463E4">
            <w:pPr>
              <w:jc w:val="center"/>
              <w:rPr>
                <w:rFonts w:cs="Arial"/>
                <w:sz w:val="20"/>
              </w:rPr>
            </w:pPr>
            <w:r>
              <w:rPr>
                <w:rFonts w:cs="Arial"/>
                <w:sz w:val="20"/>
              </w:rPr>
              <w:t>29</w:t>
            </w:r>
          </w:p>
        </w:tc>
        <w:tc>
          <w:tcPr>
            <w:tcW w:w="747" w:type="dxa"/>
            <w:shd w:val="clear" w:color="auto" w:fill="auto"/>
            <w:vAlign w:val="center"/>
          </w:tcPr>
          <w:p w:rsidR="000F4600" w:rsidRPr="00AB1652" w:rsidRDefault="005531E3" w:rsidP="00E463E4">
            <w:pPr>
              <w:jc w:val="center"/>
              <w:rPr>
                <w:rFonts w:cs="Arial"/>
                <w:sz w:val="20"/>
              </w:rPr>
            </w:pPr>
            <w:r>
              <w:rPr>
                <w:rFonts w:cs="Arial"/>
                <w:sz w:val="20"/>
              </w:rPr>
              <w:t>16.1</w:t>
            </w:r>
          </w:p>
        </w:tc>
        <w:tc>
          <w:tcPr>
            <w:tcW w:w="852" w:type="dxa"/>
            <w:shd w:val="clear" w:color="auto" w:fill="auto"/>
            <w:vAlign w:val="center"/>
          </w:tcPr>
          <w:p w:rsidR="000F4600" w:rsidRPr="00AB1652" w:rsidRDefault="005531E3" w:rsidP="00E463E4">
            <w:pPr>
              <w:jc w:val="center"/>
              <w:rPr>
                <w:rFonts w:cs="Arial"/>
                <w:sz w:val="20"/>
              </w:rPr>
            </w:pPr>
            <w:r>
              <w:rPr>
                <w:rFonts w:cs="Arial"/>
                <w:sz w:val="20"/>
              </w:rPr>
              <w:t>20</w:t>
            </w:r>
          </w:p>
        </w:tc>
        <w:tc>
          <w:tcPr>
            <w:tcW w:w="746" w:type="dxa"/>
            <w:shd w:val="clear" w:color="auto" w:fill="auto"/>
            <w:vAlign w:val="center"/>
          </w:tcPr>
          <w:p w:rsidR="000F4600" w:rsidRPr="00AB1652" w:rsidRDefault="005531E3" w:rsidP="00E463E4">
            <w:pPr>
              <w:jc w:val="center"/>
              <w:rPr>
                <w:rFonts w:cs="Arial"/>
                <w:sz w:val="20"/>
              </w:rPr>
            </w:pPr>
            <w:r>
              <w:rPr>
                <w:rFonts w:cs="Arial"/>
                <w:sz w:val="20"/>
              </w:rPr>
              <w:t>69.0</w:t>
            </w:r>
          </w:p>
        </w:tc>
        <w:tc>
          <w:tcPr>
            <w:tcW w:w="852" w:type="dxa"/>
            <w:shd w:val="clear" w:color="auto" w:fill="auto"/>
            <w:vAlign w:val="center"/>
          </w:tcPr>
          <w:p w:rsidR="000F4600" w:rsidRPr="00AB1652" w:rsidRDefault="005531E3" w:rsidP="00E463E4">
            <w:pPr>
              <w:jc w:val="center"/>
              <w:rPr>
                <w:rFonts w:cs="Arial"/>
                <w:sz w:val="20"/>
              </w:rPr>
            </w:pPr>
            <w:r>
              <w:rPr>
                <w:rFonts w:cs="Arial"/>
                <w:sz w:val="20"/>
              </w:rPr>
              <w:t>2</w:t>
            </w:r>
          </w:p>
        </w:tc>
        <w:tc>
          <w:tcPr>
            <w:tcW w:w="749" w:type="dxa"/>
            <w:shd w:val="clear" w:color="auto" w:fill="auto"/>
            <w:vAlign w:val="center"/>
          </w:tcPr>
          <w:p w:rsidR="000F4600" w:rsidRPr="00AB1652" w:rsidRDefault="005531E3" w:rsidP="00E463E4">
            <w:pPr>
              <w:jc w:val="center"/>
              <w:rPr>
                <w:rFonts w:cs="Arial"/>
                <w:sz w:val="20"/>
              </w:rPr>
            </w:pPr>
            <w:r>
              <w:rPr>
                <w:rFonts w:cs="Arial"/>
                <w:sz w:val="20"/>
              </w:rPr>
              <w:t>6.9</w:t>
            </w:r>
          </w:p>
        </w:tc>
        <w:tc>
          <w:tcPr>
            <w:tcW w:w="852" w:type="dxa"/>
            <w:shd w:val="clear" w:color="auto" w:fill="auto"/>
            <w:vAlign w:val="center"/>
          </w:tcPr>
          <w:p w:rsidR="000F4600" w:rsidRPr="00AB1652" w:rsidRDefault="005531E3" w:rsidP="00E463E4">
            <w:pPr>
              <w:jc w:val="center"/>
              <w:rPr>
                <w:rFonts w:cs="Arial"/>
                <w:sz w:val="20"/>
              </w:rPr>
            </w:pPr>
            <w:r>
              <w:rPr>
                <w:rFonts w:cs="Arial"/>
                <w:sz w:val="20"/>
              </w:rPr>
              <w:t>4</w:t>
            </w:r>
          </w:p>
        </w:tc>
        <w:tc>
          <w:tcPr>
            <w:tcW w:w="743" w:type="dxa"/>
            <w:shd w:val="clear" w:color="auto" w:fill="auto"/>
            <w:vAlign w:val="center"/>
          </w:tcPr>
          <w:p w:rsidR="000F4600" w:rsidRPr="00AB1652" w:rsidRDefault="005531E3" w:rsidP="00E463E4">
            <w:pPr>
              <w:jc w:val="center"/>
              <w:rPr>
                <w:rFonts w:cs="Arial"/>
                <w:sz w:val="20"/>
              </w:rPr>
            </w:pPr>
            <w:r>
              <w:rPr>
                <w:rFonts w:cs="Arial"/>
                <w:sz w:val="20"/>
              </w:rPr>
              <w:t>13.8</w:t>
            </w:r>
          </w:p>
        </w:tc>
        <w:tc>
          <w:tcPr>
            <w:tcW w:w="852" w:type="dxa"/>
            <w:shd w:val="clear" w:color="auto" w:fill="auto"/>
            <w:vAlign w:val="center"/>
          </w:tcPr>
          <w:p w:rsidR="000F4600" w:rsidRPr="00AB1652" w:rsidRDefault="00333F62" w:rsidP="00E463E4">
            <w:pPr>
              <w:jc w:val="center"/>
              <w:rPr>
                <w:rFonts w:cs="Arial"/>
                <w:sz w:val="20"/>
              </w:rPr>
            </w:pPr>
            <w:r>
              <w:rPr>
                <w:rFonts w:cs="Arial"/>
                <w:sz w:val="20"/>
              </w:rPr>
              <w:t>18</w:t>
            </w:r>
          </w:p>
        </w:tc>
        <w:tc>
          <w:tcPr>
            <w:tcW w:w="741" w:type="dxa"/>
            <w:shd w:val="clear" w:color="auto" w:fill="auto"/>
            <w:vAlign w:val="center"/>
          </w:tcPr>
          <w:p w:rsidR="000F4600" w:rsidRPr="00AB1652" w:rsidRDefault="00333F62" w:rsidP="00E463E4">
            <w:pPr>
              <w:jc w:val="center"/>
              <w:rPr>
                <w:rFonts w:cs="Arial"/>
                <w:sz w:val="20"/>
              </w:rPr>
            </w:pPr>
            <w:r>
              <w:rPr>
                <w:rFonts w:cs="Arial"/>
                <w:sz w:val="20"/>
              </w:rPr>
              <w:t>62.1</w:t>
            </w:r>
          </w:p>
        </w:tc>
        <w:tc>
          <w:tcPr>
            <w:tcW w:w="852" w:type="dxa"/>
            <w:shd w:val="clear" w:color="auto" w:fill="auto"/>
            <w:vAlign w:val="center"/>
          </w:tcPr>
          <w:p w:rsidR="000F4600" w:rsidRPr="00AB1652" w:rsidRDefault="00333F62" w:rsidP="00E463E4">
            <w:pPr>
              <w:jc w:val="center"/>
              <w:rPr>
                <w:rFonts w:cs="Arial"/>
                <w:sz w:val="20"/>
              </w:rPr>
            </w:pPr>
            <w:r>
              <w:rPr>
                <w:rFonts w:cs="Arial"/>
                <w:sz w:val="20"/>
              </w:rPr>
              <w:t>7</w:t>
            </w:r>
          </w:p>
        </w:tc>
        <w:tc>
          <w:tcPr>
            <w:tcW w:w="743" w:type="dxa"/>
            <w:shd w:val="clear" w:color="auto" w:fill="auto"/>
            <w:vAlign w:val="center"/>
          </w:tcPr>
          <w:p w:rsidR="000F4600" w:rsidRPr="00AB1652" w:rsidRDefault="00333F62" w:rsidP="00E463E4">
            <w:pPr>
              <w:jc w:val="center"/>
              <w:rPr>
                <w:rFonts w:cs="Arial"/>
                <w:sz w:val="20"/>
              </w:rPr>
            </w:pPr>
            <w:r>
              <w:rPr>
                <w:rFonts w:cs="Arial"/>
                <w:sz w:val="20"/>
              </w:rPr>
              <w:t>24.1</w:t>
            </w:r>
          </w:p>
        </w:tc>
        <w:tc>
          <w:tcPr>
            <w:tcW w:w="2853" w:type="dxa"/>
            <w:shd w:val="clear" w:color="auto" w:fill="auto"/>
            <w:vAlign w:val="center"/>
          </w:tcPr>
          <w:p w:rsidR="000F4600" w:rsidRPr="00AB1652" w:rsidRDefault="00333F62" w:rsidP="00B16DC7">
            <w:pPr>
              <w:jc w:val="center"/>
              <w:rPr>
                <w:rFonts w:cs="Arial"/>
                <w:sz w:val="20"/>
              </w:rPr>
            </w:pPr>
            <w:r>
              <w:rPr>
                <w:rFonts w:cs="Arial"/>
                <w:sz w:val="20"/>
              </w:rPr>
              <w:t>14.8</w:t>
            </w:r>
          </w:p>
        </w:tc>
      </w:tr>
    </w:tbl>
    <w:p w:rsidR="00E40DC9" w:rsidRPr="00AB1652" w:rsidRDefault="00E40DC9" w:rsidP="00F26BD4">
      <w:pPr>
        <w:rPr>
          <w:sz w:val="20"/>
        </w:rPr>
      </w:pPr>
    </w:p>
    <w:p w:rsidR="00E40DC9" w:rsidRDefault="00E40DC9" w:rsidP="00F26BD4">
      <w:pPr>
        <w:rPr>
          <w:sz w:val="20"/>
        </w:rPr>
      </w:pPr>
    </w:p>
    <w:p w:rsidR="00AE73D0" w:rsidRDefault="00AE73D0" w:rsidP="00F26BD4">
      <w:pPr>
        <w:rPr>
          <w:sz w:val="20"/>
        </w:rPr>
      </w:pPr>
    </w:p>
    <w:p w:rsidR="00AE73D0" w:rsidRPr="00AB1652" w:rsidRDefault="00AE73D0" w:rsidP="00F26BD4">
      <w:pPr>
        <w:rPr>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2"/>
        <w:gridCol w:w="851"/>
        <w:gridCol w:w="759"/>
        <w:gridCol w:w="849"/>
        <w:gridCol w:w="763"/>
        <w:gridCol w:w="849"/>
        <w:gridCol w:w="746"/>
        <w:gridCol w:w="849"/>
        <w:gridCol w:w="735"/>
        <w:gridCol w:w="849"/>
        <w:gridCol w:w="763"/>
        <w:gridCol w:w="849"/>
        <w:gridCol w:w="739"/>
        <w:gridCol w:w="2723"/>
      </w:tblGrid>
      <w:tr w:rsidR="00F26BD4" w:rsidRPr="00AB1652" w:rsidTr="00E463E4">
        <w:trPr>
          <w:trHeight w:val="576"/>
        </w:trPr>
        <w:tc>
          <w:tcPr>
            <w:tcW w:w="15398" w:type="dxa"/>
            <w:gridSpan w:val="14"/>
            <w:shd w:val="clear" w:color="auto" w:fill="auto"/>
            <w:vAlign w:val="center"/>
          </w:tcPr>
          <w:p w:rsidR="00F26BD4" w:rsidRPr="00AB1652" w:rsidRDefault="009D7062" w:rsidP="00E463E4">
            <w:pPr>
              <w:rPr>
                <w:rFonts w:cs="Arial"/>
                <w:b/>
                <w:sz w:val="20"/>
              </w:rPr>
            </w:pPr>
            <w:r w:rsidRPr="00AB1652">
              <w:rPr>
                <w:rFonts w:cs="Arial"/>
                <w:b/>
                <w:sz w:val="20"/>
              </w:rPr>
              <w:t xml:space="preserve">Neighbourhood Services - </w:t>
            </w:r>
            <w:r w:rsidR="00F26BD4" w:rsidRPr="00AB1652">
              <w:rPr>
                <w:rFonts w:cs="Arial"/>
                <w:b/>
                <w:sz w:val="20"/>
              </w:rPr>
              <w:t>Environment</w:t>
            </w:r>
          </w:p>
        </w:tc>
      </w:tr>
      <w:tr w:rsidR="00F26BD4" w:rsidRPr="00AB1652" w:rsidTr="00E463E4">
        <w:trPr>
          <w:trHeight w:val="576"/>
        </w:trPr>
        <w:tc>
          <w:tcPr>
            <w:tcW w:w="2936" w:type="dxa"/>
            <w:shd w:val="clear" w:color="auto" w:fill="auto"/>
            <w:vAlign w:val="center"/>
          </w:tcPr>
          <w:p w:rsidR="00F26BD4" w:rsidRPr="00AB1652" w:rsidRDefault="00AD2E1A" w:rsidP="00E463E4">
            <w:pPr>
              <w:rPr>
                <w:rFonts w:cs="Arial"/>
                <w:b/>
                <w:sz w:val="20"/>
              </w:rPr>
            </w:pPr>
            <w:r w:rsidRPr="00AB1652">
              <w:rPr>
                <w:rFonts w:cs="Arial"/>
                <w:b/>
                <w:sz w:val="20"/>
              </w:rPr>
              <w:t>Stage</w:t>
            </w:r>
          </w:p>
        </w:tc>
        <w:tc>
          <w:tcPr>
            <w:tcW w:w="1621" w:type="dxa"/>
            <w:gridSpan w:val="2"/>
            <w:shd w:val="clear" w:color="auto" w:fill="auto"/>
            <w:vAlign w:val="center"/>
          </w:tcPr>
          <w:p w:rsidR="00F26BD4" w:rsidRPr="00AB1652" w:rsidRDefault="00F26BD4" w:rsidP="00E463E4">
            <w:pPr>
              <w:rPr>
                <w:rFonts w:cs="Arial"/>
                <w:b/>
                <w:sz w:val="20"/>
              </w:rPr>
            </w:pPr>
            <w:r w:rsidRPr="00AB1652">
              <w:rPr>
                <w:rFonts w:cs="Arial"/>
                <w:b/>
                <w:sz w:val="20"/>
              </w:rPr>
              <w:t>Total</w:t>
            </w:r>
          </w:p>
        </w:tc>
        <w:tc>
          <w:tcPr>
            <w:tcW w:w="1618" w:type="dxa"/>
            <w:gridSpan w:val="2"/>
            <w:shd w:val="clear" w:color="auto" w:fill="auto"/>
            <w:vAlign w:val="center"/>
          </w:tcPr>
          <w:p w:rsidR="00F26BD4" w:rsidRPr="00AB1652" w:rsidRDefault="00F26BD4" w:rsidP="00E463E4">
            <w:pPr>
              <w:rPr>
                <w:rFonts w:cs="Arial"/>
                <w:b/>
                <w:sz w:val="20"/>
              </w:rPr>
            </w:pPr>
            <w:r w:rsidRPr="00AB1652">
              <w:rPr>
                <w:rFonts w:cs="Arial"/>
                <w:b/>
                <w:sz w:val="20"/>
              </w:rPr>
              <w:t>Within Target</w:t>
            </w:r>
          </w:p>
        </w:tc>
        <w:tc>
          <w:tcPr>
            <w:tcW w:w="1600" w:type="dxa"/>
            <w:gridSpan w:val="2"/>
            <w:shd w:val="clear" w:color="auto" w:fill="auto"/>
            <w:vAlign w:val="center"/>
          </w:tcPr>
          <w:p w:rsidR="00F26BD4" w:rsidRPr="00AB1652" w:rsidRDefault="00F26BD4" w:rsidP="00E463E4">
            <w:pPr>
              <w:rPr>
                <w:rFonts w:cs="Arial"/>
                <w:b/>
                <w:sz w:val="20"/>
              </w:rPr>
            </w:pPr>
            <w:r w:rsidRPr="00AB1652">
              <w:rPr>
                <w:rFonts w:cs="Arial"/>
                <w:b/>
                <w:sz w:val="20"/>
              </w:rPr>
              <w:t>With Extension</w:t>
            </w:r>
          </w:p>
        </w:tc>
        <w:tc>
          <w:tcPr>
            <w:tcW w:w="1594" w:type="dxa"/>
            <w:gridSpan w:val="2"/>
            <w:shd w:val="clear" w:color="auto" w:fill="auto"/>
            <w:vAlign w:val="center"/>
          </w:tcPr>
          <w:p w:rsidR="00F26BD4" w:rsidRPr="00AB1652" w:rsidRDefault="00F26BD4" w:rsidP="00E463E4">
            <w:pPr>
              <w:rPr>
                <w:rFonts w:cs="Arial"/>
                <w:b/>
                <w:sz w:val="20"/>
              </w:rPr>
            </w:pPr>
            <w:r w:rsidRPr="00AB1652">
              <w:rPr>
                <w:rFonts w:cs="Arial"/>
                <w:b/>
                <w:sz w:val="20"/>
              </w:rPr>
              <w:t>Upheld</w:t>
            </w:r>
          </w:p>
        </w:tc>
        <w:tc>
          <w:tcPr>
            <w:tcW w:w="1618" w:type="dxa"/>
            <w:gridSpan w:val="2"/>
            <w:shd w:val="clear" w:color="auto" w:fill="auto"/>
            <w:vAlign w:val="center"/>
          </w:tcPr>
          <w:p w:rsidR="00F26BD4" w:rsidRPr="00AB1652" w:rsidRDefault="00F26BD4" w:rsidP="00E463E4">
            <w:pPr>
              <w:rPr>
                <w:rFonts w:cs="Arial"/>
                <w:b/>
                <w:sz w:val="20"/>
              </w:rPr>
            </w:pPr>
            <w:r w:rsidRPr="00AB1652">
              <w:rPr>
                <w:rFonts w:cs="Arial"/>
                <w:b/>
                <w:sz w:val="20"/>
              </w:rPr>
              <w:t>Not upheld</w:t>
            </w:r>
          </w:p>
        </w:tc>
        <w:tc>
          <w:tcPr>
            <w:tcW w:w="1592" w:type="dxa"/>
            <w:gridSpan w:val="2"/>
            <w:shd w:val="clear" w:color="auto" w:fill="auto"/>
            <w:vAlign w:val="center"/>
          </w:tcPr>
          <w:p w:rsidR="00F26BD4" w:rsidRPr="00AB1652" w:rsidRDefault="00F26BD4" w:rsidP="00E463E4">
            <w:pPr>
              <w:rPr>
                <w:rFonts w:cs="Arial"/>
                <w:b/>
                <w:sz w:val="20"/>
              </w:rPr>
            </w:pPr>
            <w:r w:rsidRPr="00AB1652">
              <w:rPr>
                <w:rFonts w:cs="Arial"/>
                <w:b/>
                <w:sz w:val="20"/>
              </w:rPr>
              <w:t xml:space="preserve">Partially upheld </w:t>
            </w:r>
          </w:p>
        </w:tc>
        <w:tc>
          <w:tcPr>
            <w:tcW w:w="2819" w:type="dxa"/>
            <w:shd w:val="clear" w:color="auto" w:fill="auto"/>
            <w:vAlign w:val="center"/>
          </w:tcPr>
          <w:p w:rsidR="00F26BD4" w:rsidRPr="00AB1652" w:rsidRDefault="00F26BD4" w:rsidP="00E463E4">
            <w:pPr>
              <w:rPr>
                <w:rFonts w:cs="Arial"/>
                <w:b/>
                <w:sz w:val="20"/>
              </w:rPr>
            </w:pPr>
            <w:r w:rsidRPr="00AB1652">
              <w:rPr>
                <w:rFonts w:cs="Arial"/>
                <w:b/>
                <w:sz w:val="20"/>
              </w:rPr>
              <w:t>Average days to resolve</w:t>
            </w:r>
          </w:p>
        </w:tc>
      </w:tr>
      <w:tr w:rsidR="00F26BD4" w:rsidRPr="00AB1652" w:rsidTr="00E463E4">
        <w:trPr>
          <w:trHeight w:val="576"/>
        </w:trPr>
        <w:tc>
          <w:tcPr>
            <w:tcW w:w="2936" w:type="dxa"/>
            <w:shd w:val="clear" w:color="auto" w:fill="auto"/>
            <w:vAlign w:val="center"/>
          </w:tcPr>
          <w:p w:rsidR="00F26BD4" w:rsidRPr="00AB1652" w:rsidRDefault="00F26BD4" w:rsidP="00E463E4">
            <w:pPr>
              <w:rPr>
                <w:rFonts w:cs="Arial"/>
                <w:b/>
                <w:sz w:val="20"/>
              </w:rPr>
            </w:pPr>
          </w:p>
        </w:tc>
        <w:tc>
          <w:tcPr>
            <w:tcW w:w="854"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67"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66"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8"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2"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66"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0"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2819" w:type="dxa"/>
            <w:shd w:val="clear" w:color="auto" w:fill="auto"/>
            <w:vAlign w:val="center"/>
          </w:tcPr>
          <w:p w:rsidR="00F26BD4" w:rsidRPr="00AB1652" w:rsidRDefault="00F26BD4" w:rsidP="00E463E4">
            <w:pPr>
              <w:rPr>
                <w:rFonts w:cs="Arial"/>
                <w:b/>
                <w:sz w:val="20"/>
              </w:rPr>
            </w:pPr>
          </w:p>
        </w:tc>
      </w:tr>
      <w:tr w:rsidR="00F26BD4" w:rsidRPr="00AB1652" w:rsidTr="00E463E4">
        <w:trPr>
          <w:trHeight w:val="576"/>
        </w:trPr>
        <w:tc>
          <w:tcPr>
            <w:tcW w:w="2936" w:type="dxa"/>
            <w:shd w:val="clear" w:color="auto" w:fill="auto"/>
            <w:vAlign w:val="center"/>
          </w:tcPr>
          <w:p w:rsidR="00F26BD4" w:rsidRPr="00AB1652" w:rsidRDefault="00F26BD4" w:rsidP="00E463E4">
            <w:pPr>
              <w:rPr>
                <w:rFonts w:cs="Arial"/>
                <w:sz w:val="20"/>
              </w:rPr>
            </w:pPr>
            <w:r w:rsidRPr="00AB1652">
              <w:rPr>
                <w:rFonts w:cs="Arial"/>
                <w:sz w:val="20"/>
              </w:rPr>
              <w:t>Frontline</w:t>
            </w:r>
          </w:p>
        </w:tc>
        <w:tc>
          <w:tcPr>
            <w:tcW w:w="854" w:type="dxa"/>
            <w:shd w:val="clear" w:color="auto" w:fill="auto"/>
            <w:vAlign w:val="center"/>
          </w:tcPr>
          <w:p w:rsidR="00F26BD4" w:rsidRPr="00AB1652" w:rsidRDefault="00333F62" w:rsidP="00E463E4">
            <w:pPr>
              <w:jc w:val="center"/>
              <w:rPr>
                <w:rFonts w:cs="Arial"/>
                <w:sz w:val="20"/>
              </w:rPr>
            </w:pPr>
            <w:r>
              <w:rPr>
                <w:rFonts w:cs="Arial"/>
                <w:sz w:val="20"/>
              </w:rPr>
              <w:t>150</w:t>
            </w:r>
          </w:p>
        </w:tc>
        <w:tc>
          <w:tcPr>
            <w:tcW w:w="767" w:type="dxa"/>
            <w:shd w:val="clear" w:color="auto" w:fill="auto"/>
            <w:vAlign w:val="center"/>
          </w:tcPr>
          <w:p w:rsidR="00F26BD4" w:rsidRPr="00AB1652" w:rsidRDefault="00333F62" w:rsidP="00E463E4">
            <w:pPr>
              <w:jc w:val="center"/>
              <w:rPr>
                <w:rFonts w:cs="Arial"/>
                <w:sz w:val="20"/>
              </w:rPr>
            </w:pPr>
            <w:r>
              <w:rPr>
                <w:rFonts w:cs="Arial"/>
                <w:sz w:val="20"/>
              </w:rPr>
              <w:t>98.0</w:t>
            </w:r>
          </w:p>
        </w:tc>
        <w:tc>
          <w:tcPr>
            <w:tcW w:w="852" w:type="dxa"/>
            <w:shd w:val="clear" w:color="auto" w:fill="auto"/>
            <w:vAlign w:val="center"/>
          </w:tcPr>
          <w:p w:rsidR="00F26BD4" w:rsidRPr="00AB1652" w:rsidRDefault="00333F62" w:rsidP="00E463E4">
            <w:pPr>
              <w:jc w:val="center"/>
              <w:rPr>
                <w:rFonts w:cs="Arial"/>
                <w:sz w:val="20"/>
              </w:rPr>
            </w:pPr>
            <w:r>
              <w:rPr>
                <w:rFonts w:cs="Arial"/>
                <w:sz w:val="20"/>
              </w:rPr>
              <w:t>115</w:t>
            </w:r>
          </w:p>
        </w:tc>
        <w:tc>
          <w:tcPr>
            <w:tcW w:w="766" w:type="dxa"/>
            <w:shd w:val="clear" w:color="auto" w:fill="auto"/>
            <w:vAlign w:val="center"/>
          </w:tcPr>
          <w:p w:rsidR="00F26BD4" w:rsidRPr="00AB1652" w:rsidRDefault="00333F62" w:rsidP="00E463E4">
            <w:pPr>
              <w:jc w:val="center"/>
              <w:rPr>
                <w:rFonts w:cs="Arial"/>
                <w:sz w:val="20"/>
              </w:rPr>
            </w:pPr>
            <w:r>
              <w:rPr>
                <w:rFonts w:cs="Arial"/>
                <w:sz w:val="20"/>
              </w:rPr>
              <w:t>76.7</w:t>
            </w:r>
          </w:p>
        </w:tc>
        <w:tc>
          <w:tcPr>
            <w:tcW w:w="852" w:type="dxa"/>
            <w:shd w:val="clear" w:color="auto" w:fill="auto"/>
            <w:vAlign w:val="center"/>
          </w:tcPr>
          <w:p w:rsidR="00F26BD4" w:rsidRPr="00AB1652" w:rsidRDefault="00333F62" w:rsidP="00E463E4">
            <w:pPr>
              <w:jc w:val="center"/>
              <w:rPr>
                <w:rFonts w:cs="Arial"/>
                <w:sz w:val="20"/>
              </w:rPr>
            </w:pPr>
            <w:r>
              <w:rPr>
                <w:rFonts w:cs="Arial"/>
                <w:sz w:val="20"/>
              </w:rPr>
              <w:t>9</w:t>
            </w:r>
          </w:p>
        </w:tc>
        <w:tc>
          <w:tcPr>
            <w:tcW w:w="748" w:type="dxa"/>
            <w:shd w:val="clear" w:color="auto" w:fill="auto"/>
            <w:vAlign w:val="center"/>
          </w:tcPr>
          <w:p w:rsidR="00F26BD4" w:rsidRPr="00AB1652" w:rsidRDefault="00333F62" w:rsidP="00E463E4">
            <w:pPr>
              <w:jc w:val="center"/>
              <w:rPr>
                <w:rFonts w:cs="Arial"/>
                <w:sz w:val="20"/>
              </w:rPr>
            </w:pPr>
            <w:r>
              <w:rPr>
                <w:rFonts w:cs="Arial"/>
                <w:sz w:val="20"/>
              </w:rPr>
              <w:t>6.0</w:t>
            </w:r>
          </w:p>
        </w:tc>
        <w:tc>
          <w:tcPr>
            <w:tcW w:w="852" w:type="dxa"/>
            <w:shd w:val="clear" w:color="auto" w:fill="auto"/>
            <w:vAlign w:val="center"/>
          </w:tcPr>
          <w:p w:rsidR="00F26BD4" w:rsidRPr="00AB1652" w:rsidRDefault="00333F62" w:rsidP="00E463E4">
            <w:pPr>
              <w:jc w:val="center"/>
              <w:rPr>
                <w:rFonts w:cs="Arial"/>
                <w:sz w:val="20"/>
              </w:rPr>
            </w:pPr>
            <w:r>
              <w:rPr>
                <w:rFonts w:cs="Arial"/>
                <w:sz w:val="20"/>
              </w:rPr>
              <w:t>38</w:t>
            </w:r>
          </w:p>
        </w:tc>
        <w:tc>
          <w:tcPr>
            <w:tcW w:w="742" w:type="dxa"/>
            <w:shd w:val="clear" w:color="auto" w:fill="auto"/>
            <w:vAlign w:val="center"/>
          </w:tcPr>
          <w:p w:rsidR="00F26BD4" w:rsidRPr="00AB1652" w:rsidRDefault="00333F62" w:rsidP="00E463E4">
            <w:pPr>
              <w:jc w:val="center"/>
              <w:rPr>
                <w:rFonts w:cs="Arial"/>
                <w:sz w:val="20"/>
              </w:rPr>
            </w:pPr>
            <w:r>
              <w:rPr>
                <w:rFonts w:cs="Arial"/>
                <w:sz w:val="20"/>
              </w:rPr>
              <w:t>25.3</w:t>
            </w:r>
          </w:p>
        </w:tc>
        <w:tc>
          <w:tcPr>
            <w:tcW w:w="852" w:type="dxa"/>
            <w:shd w:val="clear" w:color="auto" w:fill="auto"/>
            <w:vAlign w:val="center"/>
          </w:tcPr>
          <w:p w:rsidR="00F26BD4" w:rsidRPr="00AB1652" w:rsidRDefault="00333F62" w:rsidP="00E463E4">
            <w:pPr>
              <w:jc w:val="center"/>
              <w:rPr>
                <w:rFonts w:cs="Arial"/>
                <w:sz w:val="20"/>
              </w:rPr>
            </w:pPr>
            <w:r>
              <w:rPr>
                <w:rFonts w:cs="Arial"/>
                <w:sz w:val="20"/>
              </w:rPr>
              <w:t>100</w:t>
            </w:r>
          </w:p>
        </w:tc>
        <w:tc>
          <w:tcPr>
            <w:tcW w:w="766" w:type="dxa"/>
            <w:shd w:val="clear" w:color="auto" w:fill="auto"/>
            <w:vAlign w:val="center"/>
          </w:tcPr>
          <w:p w:rsidR="00F26BD4" w:rsidRPr="00AB1652" w:rsidRDefault="00333F62" w:rsidP="00E463E4">
            <w:pPr>
              <w:jc w:val="center"/>
              <w:rPr>
                <w:rFonts w:cs="Arial"/>
                <w:sz w:val="20"/>
              </w:rPr>
            </w:pPr>
            <w:r>
              <w:rPr>
                <w:rFonts w:cs="Arial"/>
                <w:sz w:val="20"/>
              </w:rPr>
              <w:t>66.7</w:t>
            </w:r>
          </w:p>
        </w:tc>
        <w:tc>
          <w:tcPr>
            <w:tcW w:w="852" w:type="dxa"/>
            <w:shd w:val="clear" w:color="auto" w:fill="auto"/>
            <w:vAlign w:val="center"/>
          </w:tcPr>
          <w:p w:rsidR="00F26BD4" w:rsidRPr="00AB1652" w:rsidRDefault="00333F62" w:rsidP="00E463E4">
            <w:pPr>
              <w:jc w:val="center"/>
              <w:rPr>
                <w:rFonts w:cs="Arial"/>
                <w:sz w:val="20"/>
              </w:rPr>
            </w:pPr>
            <w:r>
              <w:rPr>
                <w:rFonts w:cs="Arial"/>
                <w:sz w:val="20"/>
              </w:rPr>
              <w:t>12</w:t>
            </w:r>
          </w:p>
        </w:tc>
        <w:tc>
          <w:tcPr>
            <w:tcW w:w="740" w:type="dxa"/>
            <w:shd w:val="clear" w:color="auto" w:fill="auto"/>
            <w:vAlign w:val="center"/>
          </w:tcPr>
          <w:p w:rsidR="00F26BD4" w:rsidRPr="00AB1652" w:rsidRDefault="00333F62" w:rsidP="00E463E4">
            <w:pPr>
              <w:jc w:val="center"/>
              <w:rPr>
                <w:rFonts w:cs="Arial"/>
                <w:sz w:val="20"/>
              </w:rPr>
            </w:pPr>
            <w:r>
              <w:rPr>
                <w:rFonts w:cs="Arial"/>
                <w:sz w:val="20"/>
              </w:rPr>
              <w:t>8.0</w:t>
            </w:r>
          </w:p>
        </w:tc>
        <w:tc>
          <w:tcPr>
            <w:tcW w:w="2819" w:type="dxa"/>
            <w:shd w:val="clear" w:color="auto" w:fill="auto"/>
            <w:vAlign w:val="center"/>
          </w:tcPr>
          <w:p w:rsidR="00F26BD4" w:rsidRPr="00AB1652" w:rsidRDefault="00333F62" w:rsidP="00E463E4">
            <w:pPr>
              <w:jc w:val="center"/>
              <w:rPr>
                <w:rFonts w:cs="Arial"/>
                <w:sz w:val="20"/>
              </w:rPr>
            </w:pPr>
            <w:r>
              <w:rPr>
                <w:rFonts w:cs="Arial"/>
                <w:sz w:val="20"/>
              </w:rPr>
              <w:t>4.1</w:t>
            </w:r>
          </w:p>
        </w:tc>
      </w:tr>
      <w:tr w:rsidR="00F26BD4" w:rsidRPr="00AB1652" w:rsidTr="00E463E4">
        <w:trPr>
          <w:trHeight w:val="576"/>
        </w:trPr>
        <w:tc>
          <w:tcPr>
            <w:tcW w:w="2936" w:type="dxa"/>
            <w:shd w:val="clear" w:color="auto" w:fill="auto"/>
            <w:vAlign w:val="center"/>
          </w:tcPr>
          <w:p w:rsidR="00F26BD4" w:rsidRPr="00AB1652" w:rsidRDefault="000F4600" w:rsidP="00E463E4">
            <w:pPr>
              <w:rPr>
                <w:rFonts w:cs="Arial"/>
                <w:sz w:val="20"/>
              </w:rPr>
            </w:pPr>
            <w:r w:rsidRPr="00AB1652">
              <w:rPr>
                <w:rFonts w:cs="Arial"/>
                <w:sz w:val="20"/>
              </w:rPr>
              <w:t xml:space="preserve">Opened at </w:t>
            </w:r>
            <w:r w:rsidR="00F26BD4" w:rsidRPr="00AB1652">
              <w:rPr>
                <w:rFonts w:cs="Arial"/>
                <w:sz w:val="20"/>
              </w:rPr>
              <w:t>Investigation</w:t>
            </w:r>
          </w:p>
        </w:tc>
        <w:tc>
          <w:tcPr>
            <w:tcW w:w="854" w:type="dxa"/>
            <w:shd w:val="clear" w:color="auto" w:fill="auto"/>
            <w:vAlign w:val="center"/>
          </w:tcPr>
          <w:p w:rsidR="00F26BD4" w:rsidRPr="00AB1652" w:rsidRDefault="00333F62" w:rsidP="00E463E4">
            <w:pPr>
              <w:jc w:val="center"/>
              <w:rPr>
                <w:rFonts w:cs="Arial"/>
                <w:sz w:val="20"/>
              </w:rPr>
            </w:pPr>
            <w:r>
              <w:rPr>
                <w:rFonts w:cs="Arial"/>
                <w:sz w:val="20"/>
              </w:rPr>
              <w:t>1</w:t>
            </w:r>
          </w:p>
        </w:tc>
        <w:tc>
          <w:tcPr>
            <w:tcW w:w="767" w:type="dxa"/>
            <w:shd w:val="clear" w:color="auto" w:fill="auto"/>
            <w:vAlign w:val="center"/>
          </w:tcPr>
          <w:p w:rsidR="00F26BD4" w:rsidRPr="00AB1652" w:rsidRDefault="00333F62" w:rsidP="00E463E4">
            <w:pPr>
              <w:jc w:val="center"/>
              <w:rPr>
                <w:rFonts w:cs="Arial"/>
                <w:sz w:val="20"/>
              </w:rPr>
            </w:pPr>
            <w:r>
              <w:rPr>
                <w:rFonts w:cs="Arial"/>
                <w:sz w:val="20"/>
              </w:rPr>
              <w:t>0.7</w:t>
            </w:r>
          </w:p>
        </w:tc>
        <w:tc>
          <w:tcPr>
            <w:tcW w:w="852" w:type="dxa"/>
            <w:shd w:val="clear" w:color="auto" w:fill="auto"/>
            <w:vAlign w:val="center"/>
          </w:tcPr>
          <w:p w:rsidR="00F26BD4" w:rsidRPr="00AB1652" w:rsidRDefault="00F26BD4" w:rsidP="00E463E4">
            <w:pPr>
              <w:jc w:val="center"/>
              <w:rPr>
                <w:rFonts w:cs="Arial"/>
                <w:sz w:val="20"/>
              </w:rPr>
            </w:pPr>
          </w:p>
        </w:tc>
        <w:tc>
          <w:tcPr>
            <w:tcW w:w="766" w:type="dxa"/>
            <w:shd w:val="clear" w:color="auto" w:fill="auto"/>
            <w:vAlign w:val="center"/>
          </w:tcPr>
          <w:p w:rsidR="00F26BD4" w:rsidRPr="00AB1652" w:rsidRDefault="00F26BD4" w:rsidP="00E463E4">
            <w:pPr>
              <w:jc w:val="center"/>
              <w:rPr>
                <w:rFonts w:cs="Arial"/>
                <w:sz w:val="20"/>
              </w:rPr>
            </w:pPr>
          </w:p>
        </w:tc>
        <w:tc>
          <w:tcPr>
            <w:tcW w:w="852" w:type="dxa"/>
            <w:shd w:val="clear" w:color="auto" w:fill="auto"/>
            <w:vAlign w:val="center"/>
          </w:tcPr>
          <w:p w:rsidR="00F26BD4" w:rsidRPr="00AB1652" w:rsidRDefault="00333F62" w:rsidP="00E463E4">
            <w:pPr>
              <w:jc w:val="center"/>
              <w:rPr>
                <w:rFonts w:cs="Arial"/>
                <w:sz w:val="20"/>
              </w:rPr>
            </w:pPr>
            <w:r>
              <w:rPr>
                <w:rFonts w:cs="Arial"/>
                <w:sz w:val="20"/>
              </w:rPr>
              <w:t>1</w:t>
            </w:r>
          </w:p>
        </w:tc>
        <w:tc>
          <w:tcPr>
            <w:tcW w:w="748" w:type="dxa"/>
            <w:shd w:val="clear" w:color="auto" w:fill="auto"/>
            <w:vAlign w:val="center"/>
          </w:tcPr>
          <w:p w:rsidR="00F26BD4" w:rsidRPr="00AB1652" w:rsidRDefault="00333F62" w:rsidP="00E463E4">
            <w:pPr>
              <w:jc w:val="center"/>
              <w:rPr>
                <w:rFonts w:cs="Arial"/>
                <w:sz w:val="20"/>
              </w:rPr>
            </w:pPr>
            <w:r>
              <w:rPr>
                <w:rFonts w:cs="Arial"/>
                <w:sz w:val="20"/>
              </w:rPr>
              <w:t>100.0</w:t>
            </w:r>
          </w:p>
        </w:tc>
        <w:tc>
          <w:tcPr>
            <w:tcW w:w="852" w:type="dxa"/>
            <w:shd w:val="clear" w:color="auto" w:fill="auto"/>
            <w:vAlign w:val="center"/>
          </w:tcPr>
          <w:p w:rsidR="00F26BD4" w:rsidRPr="00AB1652" w:rsidRDefault="00F26BD4" w:rsidP="00E463E4">
            <w:pPr>
              <w:jc w:val="center"/>
              <w:rPr>
                <w:rFonts w:cs="Arial"/>
                <w:sz w:val="20"/>
              </w:rPr>
            </w:pPr>
          </w:p>
        </w:tc>
        <w:tc>
          <w:tcPr>
            <w:tcW w:w="742" w:type="dxa"/>
            <w:shd w:val="clear" w:color="auto" w:fill="auto"/>
            <w:vAlign w:val="center"/>
          </w:tcPr>
          <w:p w:rsidR="00F26BD4" w:rsidRPr="00AB1652" w:rsidRDefault="00F26BD4" w:rsidP="00E463E4">
            <w:pPr>
              <w:jc w:val="center"/>
              <w:rPr>
                <w:rFonts w:cs="Arial"/>
                <w:sz w:val="20"/>
              </w:rPr>
            </w:pPr>
          </w:p>
        </w:tc>
        <w:tc>
          <w:tcPr>
            <w:tcW w:w="852" w:type="dxa"/>
            <w:shd w:val="clear" w:color="auto" w:fill="auto"/>
            <w:vAlign w:val="center"/>
          </w:tcPr>
          <w:p w:rsidR="00F26BD4" w:rsidRPr="00AB1652" w:rsidRDefault="00F26BD4" w:rsidP="00E463E4">
            <w:pPr>
              <w:jc w:val="center"/>
              <w:rPr>
                <w:rFonts w:cs="Arial"/>
                <w:sz w:val="20"/>
              </w:rPr>
            </w:pPr>
          </w:p>
        </w:tc>
        <w:tc>
          <w:tcPr>
            <w:tcW w:w="766" w:type="dxa"/>
            <w:shd w:val="clear" w:color="auto" w:fill="auto"/>
            <w:vAlign w:val="center"/>
          </w:tcPr>
          <w:p w:rsidR="00F26BD4" w:rsidRPr="00AB1652" w:rsidRDefault="00F26BD4" w:rsidP="00E463E4">
            <w:pPr>
              <w:jc w:val="center"/>
              <w:rPr>
                <w:rFonts w:cs="Arial"/>
                <w:sz w:val="20"/>
              </w:rPr>
            </w:pPr>
          </w:p>
        </w:tc>
        <w:tc>
          <w:tcPr>
            <w:tcW w:w="852" w:type="dxa"/>
            <w:shd w:val="clear" w:color="auto" w:fill="auto"/>
            <w:vAlign w:val="center"/>
          </w:tcPr>
          <w:p w:rsidR="00F26BD4" w:rsidRPr="00AB1652" w:rsidRDefault="00333F62" w:rsidP="00E463E4">
            <w:pPr>
              <w:jc w:val="center"/>
              <w:rPr>
                <w:rFonts w:cs="Arial"/>
                <w:sz w:val="20"/>
              </w:rPr>
            </w:pPr>
            <w:r>
              <w:rPr>
                <w:rFonts w:cs="Arial"/>
                <w:sz w:val="20"/>
              </w:rPr>
              <w:t>1</w:t>
            </w:r>
          </w:p>
        </w:tc>
        <w:tc>
          <w:tcPr>
            <w:tcW w:w="740" w:type="dxa"/>
            <w:shd w:val="clear" w:color="auto" w:fill="auto"/>
            <w:vAlign w:val="center"/>
          </w:tcPr>
          <w:p w:rsidR="00F26BD4" w:rsidRPr="00AB1652" w:rsidRDefault="00333F62" w:rsidP="00E463E4">
            <w:pPr>
              <w:jc w:val="center"/>
              <w:rPr>
                <w:rFonts w:cs="Arial"/>
                <w:sz w:val="20"/>
              </w:rPr>
            </w:pPr>
            <w:r>
              <w:rPr>
                <w:rFonts w:cs="Arial"/>
                <w:sz w:val="20"/>
              </w:rPr>
              <w:t>100.0</w:t>
            </w:r>
          </w:p>
        </w:tc>
        <w:tc>
          <w:tcPr>
            <w:tcW w:w="2819" w:type="dxa"/>
            <w:shd w:val="clear" w:color="auto" w:fill="auto"/>
            <w:vAlign w:val="center"/>
          </w:tcPr>
          <w:p w:rsidR="00F26BD4" w:rsidRPr="00AB1652" w:rsidRDefault="00333F62" w:rsidP="00E463E4">
            <w:pPr>
              <w:jc w:val="center"/>
              <w:rPr>
                <w:rFonts w:cs="Arial"/>
                <w:sz w:val="20"/>
              </w:rPr>
            </w:pPr>
            <w:r>
              <w:rPr>
                <w:rFonts w:cs="Arial"/>
                <w:sz w:val="20"/>
              </w:rPr>
              <w:t>41.7</w:t>
            </w:r>
          </w:p>
        </w:tc>
      </w:tr>
      <w:tr w:rsidR="000F4600" w:rsidRPr="00AB1652" w:rsidTr="00E463E4">
        <w:trPr>
          <w:trHeight w:val="576"/>
        </w:trPr>
        <w:tc>
          <w:tcPr>
            <w:tcW w:w="2936" w:type="dxa"/>
            <w:shd w:val="clear" w:color="auto" w:fill="auto"/>
            <w:vAlign w:val="center"/>
          </w:tcPr>
          <w:p w:rsidR="000F4600" w:rsidRPr="00AB1652" w:rsidRDefault="000F4600" w:rsidP="00E463E4">
            <w:pPr>
              <w:rPr>
                <w:rFonts w:cs="Arial"/>
                <w:sz w:val="20"/>
              </w:rPr>
            </w:pPr>
            <w:r w:rsidRPr="00AB1652">
              <w:rPr>
                <w:rFonts w:cs="Arial"/>
                <w:sz w:val="20"/>
              </w:rPr>
              <w:t>Escalated to Investigation</w:t>
            </w:r>
          </w:p>
        </w:tc>
        <w:tc>
          <w:tcPr>
            <w:tcW w:w="854" w:type="dxa"/>
            <w:shd w:val="clear" w:color="auto" w:fill="auto"/>
            <w:vAlign w:val="center"/>
          </w:tcPr>
          <w:p w:rsidR="000F4600" w:rsidRPr="00AB1652" w:rsidRDefault="00333F62" w:rsidP="00E463E4">
            <w:pPr>
              <w:jc w:val="center"/>
              <w:rPr>
                <w:rFonts w:cs="Arial"/>
                <w:sz w:val="20"/>
              </w:rPr>
            </w:pPr>
            <w:r>
              <w:rPr>
                <w:rFonts w:cs="Arial"/>
                <w:sz w:val="20"/>
              </w:rPr>
              <w:t>2</w:t>
            </w:r>
          </w:p>
        </w:tc>
        <w:tc>
          <w:tcPr>
            <w:tcW w:w="767" w:type="dxa"/>
            <w:shd w:val="clear" w:color="auto" w:fill="auto"/>
            <w:vAlign w:val="center"/>
          </w:tcPr>
          <w:p w:rsidR="000F4600" w:rsidRPr="00AB1652" w:rsidRDefault="00333F62" w:rsidP="00E463E4">
            <w:pPr>
              <w:jc w:val="center"/>
              <w:rPr>
                <w:rFonts w:cs="Arial"/>
                <w:sz w:val="20"/>
              </w:rPr>
            </w:pPr>
            <w:r>
              <w:rPr>
                <w:rFonts w:cs="Arial"/>
                <w:sz w:val="20"/>
              </w:rPr>
              <w:t>1.3</w:t>
            </w:r>
          </w:p>
        </w:tc>
        <w:tc>
          <w:tcPr>
            <w:tcW w:w="852" w:type="dxa"/>
            <w:shd w:val="clear" w:color="auto" w:fill="auto"/>
            <w:vAlign w:val="center"/>
          </w:tcPr>
          <w:p w:rsidR="000F4600" w:rsidRPr="00AB1652" w:rsidRDefault="00333F62" w:rsidP="00E463E4">
            <w:pPr>
              <w:jc w:val="center"/>
              <w:rPr>
                <w:rFonts w:cs="Arial"/>
                <w:sz w:val="20"/>
              </w:rPr>
            </w:pPr>
            <w:r>
              <w:rPr>
                <w:rFonts w:cs="Arial"/>
                <w:sz w:val="20"/>
              </w:rPr>
              <w:t>2</w:t>
            </w:r>
          </w:p>
        </w:tc>
        <w:tc>
          <w:tcPr>
            <w:tcW w:w="766" w:type="dxa"/>
            <w:shd w:val="clear" w:color="auto" w:fill="auto"/>
            <w:vAlign w:val="center"/>
          </w:tcPr>
          <w:p w:rsidR="000F4600" w:rsidRPr="00AB1652" w:rsidRDefault="00333F62" w:rsidP="00E463E4">
            <w:pPr>
              <w:jc w:val="center"/>
              <w:rPr>
                <w:rFonts w:cs="Arial"/>
                <w:sz w:val="20"/>
              </w:rPr>
            </w:pPr>
            <w:r>
              <w:rPr>
                <w:rFonts w:cs="Arial"/>
                <w:sz w:val="20"/>
              </w:rPr>
              <w:t>100.0</w:t>
            </w:r>
          </w:p>
        </w:tc>
        <w:tc>
          <w:tcPr>
            <w:tcW w:w="852" w:type="dxa"/>
            <w:shd w:val="clear" w:color="auto" w:fill="auto"/>
            <w:vAlign w:val="center"/>
          </w:tcPr>
          <w:p w:rsidR="000F4600" w:rsidRPr="00AB1652" w:rsidRDefault="000F4600" w:rsidP="00E463E4">
            <w:pPr>
              <w:jc w:val="center"/>
              <w:rPr>
                <w:rFonts w:cs="Arial"/>
                <w:sz w:val="20"/>
              </w:rPr>
            </w:pPr>
          </w:p>
        </w:tc>
        <w:tc>
          <w:tcPr>
            <w:tcW w:w="748" w:type="dxa"/>
            <w:shd w:val="clear" w:color="auto" w:fill="auto"/>
            <w:vAlign w:val="center"/>
          </w:tcPr>
          <w:p w:rsidR="000F4600" w:rsidRPr="00AB1652" w:rsidRDefault="000F4600" w:rsidP="00E463E4">
            <w:pPr>
              <w:jc w:val="center"/>
              <w:rPr>
                <w:rFonts w:cs="Arial"/>
                <w:sz w:val="20"/>
              </w:rPr>
            </w:pPr>
          </w:p>
        </w:tc>
        <w:tc>
          <w:tcPr>
            <w:tcW w:w="852" w:type="dxa"/>
            <w:shd w:val="clear" w:color="auto" w:fill="auto"/>
            <w:vAlign w:val="center"/>
          </w:tcPr>
          <w:p w:rsidR="000F4600" w:rsidRPr="00AB1652" w:rsidRDefault="000F4600" w:rsidP="00E463E4">
            <w:pPr>
              <w:jc w:val="center"/>
              <w:rPr>
                <w:rFonts w:cs="Arial"/>
                <w:sz w:val="20"/>
              </w:rPr>
            </w:pPr>
          </w:p>
        </w:tc>
        <w:tc>
          <w:tcPr>
            <w:tcW w:w="742" w:type="dxa"/>
            <w:shd w:val="clear" w:color="auto" w:fill="auto"/>
            <w:vAlign w:val="center"/>
          </w:tcPr>
          <w:p w:rsidR="000F4600" w:rsidRPr="00AB1652" w:rsidRDefault="000F4600" w:rsidP="00E463E4">
            <w:pPr>
              <w:jc w:val="center"/>
              <w:rPr>
                <w:rFonts w:cs="Arial"/>
                <w:sz w:val="20"/>
              </w:rPr>
            </w:pPr>
          </w:p>
        </w:tc>
        <w:tc>
          <w:tcPr>
            <w:tcW w:w="852" w:type="dxa"/>
            <w:shd w:val="clear" w:color="auto" w:fill="auto"/>
            <w:vAlign w:val="center"/>
          </w:tcPr>
          <w:p w:rsidR="000F4600" w:rsidRPr="00AB1652" w:rsidRDefault="00333F62" w:rsidP="00E463E4">
            <w:pPr>
              <w:jc w:val="center"/>
              <w:rPr>
                <w:rFonts w:cs="Arial"/>
                <w:sz w:val="20"/>
              </w:rPr>
            </w:pPr>
            <w:r>
              <w:rPr>
                <w:rFonts w:cs="Arial"/>
                <w:sz w:val="20"/>
              </w:rPr>
              <w:t>2</w:t>
            </w:r>
          </w:p>
        </w:tc>
        <w:tc>
          <w:tcPr>
            <w:tcW w:w="766" w:type="dxa"/>
            <w:shd w:val="clear" w:color="auto" w:fill="auto"/>
            <w:vAlign w:val="center"/>
          </w:tcPr>
          <w:p w:rsidR="000F4600" w:rsidRPr="00AB1652" w:rsidRDefault="00333F62" w:rsidP="00E463E4">
            <w:pPr>
              <w:jc w:val="center"/>
              <w:rPr>
                <w:rFonts w:cs="Arial"/>
                <w:sz w:val="20"/>
              </w:rPr>
            </w:pPr>
            <w:r>
              <w:rPr>
                <w:rFonts w:cs="Arial"/>
                <w:sz w:val="20"/>
              </w:rPr>
              <w:t>100.0</w:t>
            </w:r>
          </w:p>
        </w:tc>
        <w:tc>
          <w:tcPr>
            <w:tcW w:w="852" w:type="dxa"/>
            <w:shd w:val="clear" w:color="auto" w:fill="auto"/>
            <w:vAlign w:val="center"/>
          </w:tcPr>
          <w:p w:rsidR="000F4600" w:rsidRPr="00AB1652" w:rsidRDefault="000F4600" w:rsidP="00E463E4">
            <w:pPr>
              <w:jc w:val="center"/>
              <w:rPr>
                <w:rFonts w:cs="Arial"/>
                <w:sz w:val="20"/>
              </w:rPr>
            </w:pPr>
          </w:p>
        </w:tc>
        <w:tc>
          <w:tcPr>
            <w:tcW w:w="740" w:type="dxa"/>
            <w:shd w:val="clear" w:color="auto" w:fill="auto"/>
            <w:vAlign w:val="center"/>
          </w:tcPr>
          <w:p w:rsidR="000F4600" w:rsidRPr="00AB1652" w:rsidRDefault="000F4600" w:rsidP="00E463E4">
            <w:pPr>
              <w:jc w:val="center"/>
              <w:rPr>
                <w:rFonts w:cs="Arial"/>
                <w:sz w:val="20"/>
              </w:rPr>
            </w:pPr>
          </w:p>
        </w:tc>
        <w:tc>
          <w:tcPr>
            <w:tcW w:w="2819" w:type="dxa"/>
            <w:shd w:val="clear" w:color="auto" w:fill="auto"/>
            <w:vAlign w:val="center"/>
          </w:tcPr>
          <w:p w:rsidR="000F4600" w:rsidRPr="00AB1652" w:rsidRDefault="00333F62" w:rsidP="00E463E4">
            <w:pPr>
              <w:jc w:val="center"/>
              <w:rPr>
                <w:rFonts w:cs="Arial"/>
                <w:sz w:val="20"/>
              </w:rPr>
            </w:pPr>
            <w:r>
              <w:rPr>
                <w:rFonts w:cs="Arial"/>
                <w:sz w:val="20"/>
              </w:rPr>
              <w:t>12.9</w:t>
            </w:r>
          </w:p>
        </w:tc>
      </w:tr>
    </w:tbl>
    <w:p w:rsidR="00F26BD4" w:rsidRDefault="00F26BD4" w:rsidP="00AE73D0">
      <w:pPr>
        <w:rPr>
          <w:rFonts w:cs="Arial"/>
          <w:color w:val="000000"/>
          <w:sz w:val="20"/>
        </w:rPr>
      </w:pPr>
    </w:p>
    <w:p w:rsidR="008A5AEB" w:rsidRDefault="008A5AEB">
      <w:pPr>
        <w:rPr>
          <w:rFonts w:cs="Arial"/>
          <w:color w:val="000000"/>
          <w:sz w:val="20"/>
        </w:rPr>
      </w:pPr>
      <w:r>
        <w:rPr>
          <w:rFonts w:cs="Arial"/>
          <w:color w:val="000000"/>
          <w:sz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851"/>
        <w:gridCol w:w="758"/>
        <w:gridCol w:w="849"/>
        <w:gridCol w:w="736"/>
        <w:gridCol w:w="849"/>
        <w:gridCol w:w="740"/>
        <w:gridCol w:w="849"/>
        <w:gridCol w:w="734"/>
        <w:gridCol w:w="849"/>
        <w:gridCol w:w="732"/>
        <w:gridCol w:w="849"/>
        <w:gridCol w:w="734"/>
        <w:gridCol w:w="2761"/>
      </w:tblGrid>
      <w:tr w:rsidR="00F26BD4" w:rsidRPr="00AB1652" w:rsidTr="00BA72B6">
        <w:trPr>
          <w:trHeight w:val="576"/>
        </w:trPr>
        <w:tc>
          <w:tcPr>
            <w:tcW w:w="15176" w:type="dxa"/>
            <w:gridSpan w:val="14"/>
            <w:shd w:val="clear" w:color="auto" w:fill="auto"/>
            <w:vAlign w:val="center"/>
          </w:tcPr>
          <w:p w:rsidR="00F26BD4" w:rsidRPr="00AB1652" w:rsidRDefault="00F26BD4" w:rsidP="00E463E4">
            <w:pPr>
              <w:rPr>
                <w:rFonts w:cs="Arial"/>
                <w:b/>
                <w:sz w:val="20"/>
              </w:rPr>
            </w:pPr>
            <w:r w:rsidRPr="00AB1652">
              <w:rPr>
                <w:rFonts w:cs="Arial"/>
                <w:b/>
                <w:sz w:val="20"/>
              </w:rPr>
              <w:lastRenderedPageBreak/>
              <w:t>City Development</w:t>
            </w:r>
          </w:p>
        </w:tc>
      </w:tr>
      <w:tr w:rsidR="00F26BD4" w:rsidRPr="00AB1652" w:rsidTr="00BA72B6">
        <w:trPr>
          <w:trHeight w:val="576"/>
        </w:trPr>
        <w:tc>
          <w:tcPr>
            <w:tcW w:w="2885" w:type="dxa"/>
            <w:shd w:val="clear" w:color="auto" w:fill="auto"/>
            <w:vAlign w:val="center"/>
          </w:tcPr>
          <w:p w:rsidR="00F26BD4" w:rsidRPr="00AB1652" w:rsidRDefault="00F26BD4" w:rsidP="00E463E4">
            <w:pPr>
              <w:rPr>
                <w:rFonts w:cs="Arial"/>
                <w:b/>
                <w:sz w:val="20"/>
              </w:rPr>
            </w:pPr>
            <w:r w:rsidRPr="00AB1652">
              <w:rPr>
                <w:rFonts w:cs="Arial"/>
                <w:b/>
                <w:sz w:val="20"/>
              </w:rPr>
              <w:t>Stage</w:t>
            </w:r>
          </w:p>
        </w:tc>
        <w:tc>
          <w:tcPr>
            <w:tcW w:w="1609" w:type="dxa"/>
            <w:gridSpan w:val="2"/>
            <w:shd w:val="clear" w:color="auto" w:fill="auto"/>
            <w:vAlign w:val="center"/>
          </w:tcPr>
          <w:p w:rsidR="00F26BD4" w:rsidRPr="00AB1652" w:rsidRDefault="00F26BD4" w:rsidP="00E463E4">
            <w:pPr>
              <w:rPr>
                <w:rFonts w:cs="Arial"/>
                <w:b/>
                <w:sz w:val="20"/>
              </w:rPr>
            </w:pPr>
            <w:r w:rsidRPr="00AB1652">
              <w:rPr>
                <w:rFonts w:cs="Arial"/>
                <w:b/>
                <w:sz w:val="20"/>
              </w:rPr>
              <w:t>Total</w:t>
            </w:r>
          </w:p>
        </w:tc>
        <w:tc>
          <w:tcPr>
            <w:tcW w:w="1585" w:type="dxa"/>
            <w:gridSpan w:val="2"/>
            <w:shd w:val="clear" w:color="auto" w:fill="auto"/>
            <w:vAlign w:val="center"/>
          </w:tcPr>
          <w:p w:rsidR="00F26BD4" w:rsidRPr="00AB1652" w:rsidRDefault="00F26BD4" w:rsidP="00E463E4">
            <w:pPr>
              <w:rPr>
                <w:rFonts w:cs="Arial"/>
                <w:b/>
                <w:sz w:val="20"/>
              </w:rPr>
            </w:pPr>
            <w:r w:rsidRPr="00AB1652">
              <w:rPr>
                <w:rFonts w:cs="Arial"/>
                <w:b/>
                <w:sz w:val="20"/>
              </w:rPr>
              <w:t>Within Target</w:t>
            </w:r>
          </w:p>
        </w:tc>
        <w:tc>
          <w:tcPr>
            <w:tcW w:w="1589" w:type="dxa"/>
            <w:gridSpan w:val="2"/>
            <w:shd w:val="clear" w:color="auto" w:fill="auto"/>
            <w:vAlign w:val="center"/>
          </w:tcPr>
          <w:p w:rsidR="00F26BD4" w:rsidRPr="00AB1652" w:rsidRDefault="00F26BD4" w:rsidP="00E463E4">
            <w:pPr>
              <w:rPr>
                <w:rFonts w:cs="Arial"/>
                <w:b/>
                <w:sz w:val="20"/>
              </w:rPr>
            </w:pPr>
            <w:r w:rsidRPr="00AB1652">
              <w:rPr>
                <w:rFonts w:cs="Arial"/>
                <w:b/>
                <w:sz w:val="20"/>
              </w:rPr>
              <w:t>With Extension</w:t>
            </w:r>
          </w:p>
        </w:tc>
        <w:tc>
          <w:tcPr>
            <w:tcW w:w="1583" w:type="dxa"/>
            <w:gridSpan w:val="2"/>
            <w:shd w:val="clear" w:color="auto" w:fill="auto"/>
            <w:vAlign w:val="center"/>
          </w:tcPr>
          <w:p w:rsidR="00F26BD4" w:rsidRPr="00AB1652" w:rsidRDefault="00F26BD4" w:rsidP="00E463E4">
            <w:pPr>
              <w:rPr>
                <w:rFonts w:cs="Arial"/>
                <w:b/>
                <w:sz w:val="20"/>
              </w:rPr>
            </w:pPr>
            <w:r w:rsidRPr="00AB1652">
              <w:rPr>
                <w:rFonts w:cs="Arial"/>
                <w:b/>
                <w:sz w:val="20"/>
              </w:rPr>
              <w:t>Upheld</w:t>
            </w:r>
          </w:p>
        </w:tc>
        <w:tc>
          <w:tcPr>
            <w:tcW w:w="1581" w:type="dxa"/>
            <w:gridSpan w:val="2"/>
            <w:shd w:val="clear" w:color="auto" w:fill="auto"/>
            <w:vAlign w:val="center"/>
          </w:tcPr>
          <w:p w:rsidR="00F26BD4" w:rsidRPr="00AB1652" w:rsidRDefault="00F26BD4" w:rsidP="00E463E4">
            <w:pPr>
              <w:rPr>
                <w:rFonts w:cs="Arial"/>
                <w:b/>
                <w:sz w:val="20"/>
              </w:rPr>
            </w:pPr>
            <w:r w:rsidRPr="00AB1652">
              <w:rPr>
                <w:rFonts w:cs="Arial"/>
                <w:b/>
                <w:sz w:val="20"/>
              </w:rPr>
              <w:t>Not upheld</w:t>
            </w:r>
          </w:p>
        </w:tc>
        <w:tc>
          <w:tcPr>
            <w:tcW w:w="1583" w:type="dxa"/>
            <w:gridSpan w:val="2"/>
            <w:shd w:val="clear" w:color="auto" w:fill="auto"/>
            <w:vAlign w:val="center"/>
          </w:tcPr>
          <w:p w:rsidR="00F26BD4" w:rsidRPr="00AB1652" w:rsidRDefault="00F26BD4" w:rsidP="00E463E4">
            <w:pPr>
              <w:rPr>
                <w:rFonts w:cs="Arial"/>
                <w:b/>
                <w:sz w:val="20"/>
              </w:rPr>
            </w:pPr>
            <w:r w:rsidRPr="00AB1652">
              <w:rPr>
                <w:rFonts w:cs="Arial"/>
                <w:b/>
                <w:sz w:val="20"/>
              </w:rPr>
              <w:t xml:space="preserve">Partially upheld </w:t>
            </w:r>
          </w:p>
        </w:tc>
        <w:tc>
          <w:tcPr>
            <w:tcW w:w="2761" w:type="dxa"/>
            <w:shd w:val="clear" w:color="auto" w:fill="auto"/>
            <w:vAlign w:val="center"/>
          </w:tcPr>
          <w:p w:rsidR="00F26BD4" w:rsidRPr="00AB1652" w:rsidRDefault="00F26BD4" w:rsidP="00E463E4">
            <w:pPr>
              <w:rPr>
                <w:rFonts w:cs="Arial"/>
                <w:b/>
                <w:sz w:val="20"/>
              </w:rPr>
            </w:pPr>
            <w:r w:rsidRPr="00AB1652">
              <w:rPr>
                <w:rFonts w:cs="Arial"/>
                <w:b/>
                <w:sz w:val="20"/>
              </w:rPr>
              <w:t>Average days to resolve</w:t>
            </w:r>
          </w:p>
        </w:tc>
      </w:tr>
      <w:tr w:rsidR="00F26BD4" w:rsidRPr="00AB1652" w:rsidTr="00BA72B6">
        <w:trPr>
          <w:trHeight w:val="576"/>
        </w:trPr>
        <w:tc>
          <w:tcPr>
            <w:tcW w:w="2885" w:type="dxa"/>
            <w:shd w:val="clear" w:color="auto" w:fill="auto"/>
            <w:vAlign w:val="center"/>
          </w:tcPr>
          <w:p w:rsidR="00F26BD4" w:rsidRPr="00AB1652" w:rsidRDefault="00F26BD4" w:rsidP="00E463E4">
            <w:pPr>
              <w:rPr>
                <w:rFonts w:cs="Arial"/>
                <w:b/>
                <w:sz w:val="20"/>
              </w:rPr>
            </w:pPr>
          </w:p>
        </w:tc>
        <w:tc>
          <w:tcPr>
            <w:tcW w:w="851"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58"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36"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0"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34"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32"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34"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2761" w:type="dxa"/>
            <w:shd w:val="clear" w:color="auto" w:fill="auto"/>
            <w:vAlign w:val="center"/>
          </w:tcPr>
          <w:p w:rsidR="00F26BD4" w:rsidRPr="00AB1652" w:rsidRDefault="00F26BD4" w:rsidP="00E463E4">
            <w:pPr>
              <w:rPr>
                <w:rFonts w:cs="Arial"/>
                <w:b/>
                <w:sz w:val="20"/>
              </w:rPr>
            </w:pPr>
          </w:p>
        </w:tc>
      </w:tr>
      <w:tr w:rsidR="00F26BD4" w:rsidRPr="00AB1652" w:rsidTr="00BA72B6">
        <w:trPr>
          <w:trHeight w:val="576"/>
        </w:trPr>
        <w:tc>
          <w:tcPr>
            <w:tcW w:w="2885" w:type="dxa"/>
            <w:shd w:val="clear" w:color="auto" w:fill="auto"/>
            <w:vAlign w:val="center"/>
          </w:tcPr>
          <w:p w:rsidR="00F26BD4" w:rsidRPr="00AB1652" w:rsidRDefault="00F26BD4" w:rsidP="00E463E4">
            <w:pPr>
              <w:rPr>
                <w:rFonts w:cs="Arial"/>
                <w:sz w:val="20"/>
              </w:rPr>
            </w:pPr>
            <w:r w:rsidRPr="00AB1652">
              <w:rPr>
                <w:rFonts w:cs="Arial"/>
                <w:sz w:val="20"/>
              </w:rPr>
              <w:t>Frontline</w:t>
            </w:r>
          </w:p>
        </w:tc>
        <w:tc>
          <w:tcPr>
            <w:tcW w:w="851" w:type="dxa"/>
            <w:shd w:val="clear" w:color="auto" w:fill="auto"/>
            <w:vAlign w:val="center"/>
          </w:tcPr>
          <w:p w:rsidR="00F26BD4" w:rsidRPr="00AB1652" w:rsidRDefault="007A0CB2" w:rsidP="00E463E4">
            <w:pPr>
              <w:jc w:val="center"/>
              <w:rPr>
                <w:rFonts w:cs="Arial"/>
                <w:sz w:val="20"/>
              </w:rPr>
            </w:pPr>
            <w:r>
              <w:rPr>
                <w:rFonts w:cs="Arial"/>
                <w:sz w:val="20"/>
              </w:rPr>
              <w:t>43</w:t>
            </w:r>
          </w:p>
        </w:tc>
        <w:tc>
          <w:tcPr>
            <w:tcW w:w="758" w:type="dxa"/>
            <w:shd w:val="clear" w:color="auto" w:fill="auto"/>
            <w:vAlign w:val="center"/>
          </w:tcPr>
          <w:p w:rsidR="00F26BD4" w:rsidRPr="00AB1652" w:rsidRDefault="007A0CB2" w:rsidP="00E463E4">
            <w:pPr>
              <w:jc w:val="center"/>
              <w:rPr>
                <w:rFonts w:cs="Arial"/>
                <w:sz w:val="20"/>
              </w:rPr>
            </w:pPr>
            <w:r>
              <w:rPr>
                <w:rFonts w:cs="Arial"/>
                <w:sz w:val="20"/>
              </w:rPr>
              <w:t>86.0</w:t>
            </w:r>
          </w:p>
        </w:tc>
        <w:tc>
          <w:tcPr>
            <w:tcW w:w="849" w:type="dxa"/>
            <w:shd w:val="clear" w:color="auto" w:fill="auto"/>
            <w:vAlign w:val="center"/>
          </w:tcPr>
          <w:p w:rsidR="00F26BD4" w:rsidRPr="00AB1652" w:rsidRDefault="007A0CB2" w:rsidP="00E463E4">
            <w:pPr>
              <w:jc w:val="center"/>
              <w:rPr>
                <w:rFonts w:cs="Arial"/>
                <w:sz w:val="20"/>
              </w:rPr>
            </w:pPr>
            <w:r>
              <w:rPr>
                <w:rFonts w:cs="Arial"/>
                <w:sz w:val="20"/>
              </w:rPr>
              <w:t>30</w:t>
            </w:r>
          </w:p>
        </w:tc>
        <w:tc>
          <w:tcPr>
            <w:tcW w:w="736" w:type="dxa"/>
            <w:shd w:val="clear" w:color="auto" w:fill="auto"/>
            <w:vAlign w:val="center"/>
          </w:tcPr>
          <w:p w:rsidR="00F26BD4" w:rsidRPr="00AB1652" w:rsidRDefault="007A0CB2" w:rsidP="00E463E4">
            <w:pPr>
              <w:jc w:val="center"/>
              <w:rPr>
                <w:rFonts w:cs="Arial"/>
                <w:sz w:val="20"/>
              </w:rPr>
            </w:pPr>
            <w:r>
              <w:rPr>
                <w:rFonts w:cs="Arial"/>
                <w:sz w:val="20"/>
              </w:rPr>
              <w:t>69.8</w:t>
            </w:r>
          </w:p>
        </w:tc>
        <w:tc>
          <w:tcPr>
            <w:tcW w:w="849" w:type="dxa"/>
            <w:shd w:val="clear" w:color="auto" w:fill="auto"/>
            <w:vAlign w:val="center"/>
          </w:tcPr>
          <w:p w:rsidR="00F26BD4" w:rsidRPr="00AB1652" w:rsidRDefault="007A0CB2" w:rsidP="00E463E4">
            <w:pPr>
              <w:jc w:val="center"/>
              <w:rPr>
                <w:rFonts w:cs="Arial"/>
                <w:sz w:val="20"/>
              </w:rPr>
            </w:pPr>
            <w:r>
              <w:rPr>
                <w:rFonts w:cs="Arial"/>
                <w:sz w:val="20"/>
              </w:rPr>
              <w:t>1</w:t>
            </w:r>
          </w:p>
        </w:tc>
        <w:tc>
          <w:tcPr>
            <w:tcW w:w="740" w:type="dxa"/>
            <w:shd w:val="clear" w:color="auto" w:fill="auto"/>
            <w:vAlign w:val="center"/>
          </w:tcPr>
          <w:p w:rsidR="00F26BD4" w:rsidRPr="00AB1652" w:rsidRDefault="007A0CB2" w:rsidP="00E463E4">
            <w:pPr>
              <w:jc w:val="center"/>
              <w:rPr>
                <w:rFonts w:cs="Arial"/>
                <w:sz w:val="20"/>
              </w:rPr>
            </w:pPr>
            <w:r>
              <w:rPr>
                <w:rFonts w:cs="Arial"/>
                <w:sz w:val="20"/>
              </w:rPr>
              <w:t>2.3</w:t>
            </w:r>
          </w:p>
        </w:tc>
        <w:tc>
          <w:tcPr>
            <w:tcW w:w="849" w:type="dxa"/>
            <w:shd w:val="clear" w:color="auto" w:fill="auto"/>
            <w:vAlign w:val="center"/>
          </w:tcPr>
          <w:p w:rsidR="00F26BD4" w:rsidRPr="00AB1652" w:rsidRDefault="007A0CB2" w:rsidP="00E463E4">
            <w:pPr>
              <w:jc w:val="center"/>
              <w:rPr>
                <w:rFonts w:cs="Arial"/>
                <w:sz w:val="20"/>
              </w:rPr>
            </w:pPr>
            <w:r>
              <w:rPr>
                <w:rFonts w:cs="Arial"/>
                <w:sz w:val="20"/>
              </w:rPr>
              <w:t>2</w:t>
            </w:r>
          </w:p>
        </w:tc>
        <w:tc>
          <w:tcPr>
            <w:tcW w:w="734" w:type="dxa"/>
            <w:shd w:val="clear" w:color="auto" w:fill="auto"/>
            <w:vAlign w:val="center"/>
          </w:tcPr>
          <w:p w:rsidR="00F26BD4" w:rsidRPr="00AB1652" w:rsidRDefault="007A0CB2" w:rsidP="00E463E4">
            <w:pPr>
              <w:jc w:val="center"/>
              <w:rPr>
                <w:rFonts w:cs="Arial"/>
                <w:sz w:val="20"/>
              </w:rPr>
            </w:pPr>
            <w:r>
              <w:rPr>
                <w:rFonts w:cs="Arial"/>
                <w:sz w:val="20"/>
              </w:rPr>
              <w:t>4.7</w:t>
            </w:r>
          </w:p>
        </w:tc>
        <w:tc>
          <w:tcPr>
            <w:tcW w:w="849" w:type="dxa"/>
            <w:shd w:val="clear" w:color="auto" w:fill="auto"/>
            <w:vAlign w:val="center"/>
          </w:tcPr>
          <w:p w:rsidR="00F26BD4" w:rsidRPr="00AB1652" w:rsidRDefault="007A0CB2" w:rsidP="00E463E4">
            <w:pPr>
              <w:jc w:val="center"/>
              <w:rPr>
                <w:rFonts w:cs="Arial"/>
                <w:sz w:val="20"/>
              </w:rPr>
            </w:pPr>
            <w:r>
              <w:rPr>
                <w:rFonts w:cs="Arial"/>
                <w:sz w:val="20"/>
              </w:rPr>
              <w:t>37</w:t>
            </w:r>
          </w:p>
        </w:tc>
        <w:tc>
          <w:tcPr>
            <w:tcW w:w="732" w:type="dxa"/>
            <w:shd w:val="clear" w:color="auto" w:fill="auto"/>
            <w:vAlign w:val="center"/>
          </w:tcPr>
          <w:p w:rsidR="00F26BD4" w:rsidRPr="00AB1652" w:rsidRDefault="007A0CB2" w:rsidP="00E463E4">
            <w:pPr>
              <w:jc w:val="center"/>
              <w:rPr>
                <w:rFonts w:cs="Arial"/>
                <w:sz w:val="20"/>
              </w:rPr>
            </w:pPr>
            <w:r>
              <w:rPr>
                <w:rFonts w:cs="Arial"/>
                <w:sz w:val="20"/>
              </w:rPr>
              <w:t>86.0</w:t>
            </w:r>
          </w:p>
        </w:tc>
        <w:tc>
          <w:tcPr>
            <w:tcW w:w="849" w:type="dxa"/>
            <w:shd w:val="clear" w:color="auto" w:fill="auto"/>
            <w:vAlign w:val="center"/>
          </w:tcPr>
          <w:p w:rsidR="00F26BD4" w:rsidRPr="00AB1652" w:rsidRDefault="007A0CB2" w:rsidP="00E463E4">
            <w:pPr>
              <w:jc w:val="center"/>
              <w:rPr>
                <w:rFonts w:cs="Arial"/>
                <w:sz w:val="20"/>
              </w:rPr>
            </w:pPr>
            <w:r>
              <w:rPr>
                <w:rFonts w:cs="Arial"/>
                <w:sz w:val="20"/>
              </w:rPr>
              <w:t>4</w:t>
            </w:r>
          </w:p>
        </w:tc>
        <w:tc>
          <w:tcPr>
            <w:tcW w:w="734" w:type="dxa"/>
            <w:shd w:val="clear" w:color="auto" w:fill="auto"/>
            <w:vAlign w:val="center"/>
          </w:tcPr>
          <w:p w:rsidR="00F26BD4" w:rsidRPr="00AB1652" w:rsidRDefault="007A0CB2" w:rsidP="00E463E4">
            <w:pPr>
              <w:jc w:val="center"/>
              <w:rPr>
                <w:rFonts w:cs="Arial"/>
                <w:sz w:val="20"/>
              </w:rPr>
            </w:pPr>
            <w:r>
              <w:rPr>
                <w:rFonts w:cs="Arial"/>
                <w:sz w:val="20"/>
              </w:rPr>
              <w:t>9.3</w:t>
            </w:r>
          </w:p>
        </w:tc>
        <w:tc>
          <w:tcPr>
            <w:tcW w:w="2761" w:type="dxa"/>
            <w:shd w:val="clear" w:color="auto" w:fill="auto"/>
            <w:vAlign w:val="center"/>
          </w:tcPr>
          <w:p w:rsidR="00F26BD4" w:rsidRPr="00AB1652" w:rsidRDefault="007A0CB2" w:rsidP="00E463E4">
            <w:pPr>
              <w:jc w:val="center"/>
              <w:rPr>
                <w:rFonts w:cs="Arial"/>
                <w:sz w:val="20"/>
              </w:rPr>
            </w:pPr>
            <w:r>
              <w:rPr>
                <w:rFonts w:cs="Arial"/>
                <w:sz w:val="20"/>
              </w:rPr>
              <w:t>3.8</w:t>
            </w:r>
          </w:p>
        </w:tc>
      </w:tr>
      <w:tr w:rsidR="00F26BD4" w:rsidRPr="00AB1652" w:rsidTr="00BA72B6">
        <w:trPr>
          <w:trHeight w:val="576"/>
        </w:trPr>
        <w:tc>
          <w:tcPr>
            <w:tcW w:w="2885" w:type="dxa"/>
            <w:shd w:val="clear" w:color="auto" w:fill="auto"/>
            <w:vAlign w:val="center"/>
          </w:tcPr>
          <w:p w:rsidR="00F26BD4" w:rsidRPr="00AB1652" w:rsidRDefault="00CD4761" w:rsidP="00E463E4">
            <w:pPr>
              <w:rPr>
                <w:rFonts w:cs="Arial"/>
                <w:sz w:val="20"/>
              </w:rPr>
            </w:pPr>
            <w:r w:rsidRPr="00AB1652">
              <w:rPr>
                <w:rFonts w:cs="Arial"/>
                <w:sz w:val="20"/>
              </w:rPr>
              <w:t xml:space="preserve">Opened at </w:t>
            </w:r>
            <w:r w:rsidR="00F26BD4" w:rsidRPr="00AB1652">
              <w:rPr>
                <w:rFonts w:cs="Arial"/>
                <w:sz w:val="20"/>
              </w:rPr>
              <w:t>Investigation</w:t>
            </w:r>
          </w:p>
        </w:tc>
        <w:tc>
          <w:tcPr>
            <w:tcW w:w="851" w:type="dxa"/>
            <w:shd w:val="clear" w:color="auto" w:fill="auto"/>
            <w:vAlign w:val="center"/>
          </w:tcPr>
          <w:p w:rsidR="00F26BD4" w:rsidRPr="00AB1652" w:rsidRDefault="007A0CB2" w:rsidP="00E463E4">
            <w:pPr>
              <w:jc w:val="center"/>
              <w:rPr>
                <w:rFonts w:cs="Arial"/>
                <w:sz w:val="20"/>
              </w:rPr>
            </w:pPr>
            <w:r>
              <w:rPr>
                <w:rFonts w:cs="Arial"/>
                <w:sz w:val="20"/>
              </w:rPr>
              <w:t>4</w:t>
            </w:r>
          </w:p>
        </w:tc>
        <w:tc>
          <w:tcPr>
            <w:tcW w:w="758" w:type="dxa"/>
            <w:shd w:val="clear" w:color="auto" w:fill="auto"/>
            <w:vAlign w:val="center"/>
          </w:tcPr>
          <w:p w:rsidR="00F26BD4" w:rsidRPr="00AB1652" w:rsidRDefault="007A0CB2" w:rsidP="00E463E4">
            <w:pPr>
              <w:jc w:val="center"/>
              <w:rPr>
                <w:rFonts w:cs="Arial"/>
                <w:sz w:val="20"/>
              </w:rPr>
            </w:pPr>
            <w:r>
              <w:rPr>
                <w:rFonts w:cs="Arial"/>
                <w:sz w:val="20"/>
              </w:rPr>
              <w:t>8.0</w:t>
            </w:r>
          </w:p>
        </w:tc>
        <w:tc>
          <w:tcPr>
            <w:tcW w:w="849" w:type="dxa"/>
            <w:shd w:val="clear" w:color="auto" w:fill="auto"/>
            <w:vAlign w:val="center"/>
          </w:tcPr>
          <w:p w:rsidR="00F26BD4" w:rsidRPr="00AB1652" w:rsidRDefault="007A0CB2" w:rsidP="00E463E4">
            <w:pPr>
              <w:jc w:val="center"/>
              <w:rPr>
                <w:rFonts w:cs="Arial"/>
                <w:sz w:val="20"/>
              </w:rPr>
            </w:pPr>
            <w:r>
              <w:rPr>
                <w:rFonts w:cs="Arial"/>
                <w:sz w:val="20"/>
              </w:rPr>
              <w:t>1</w:t>
            </w:r>
          </w:p>
        </w:tc>
        <w:tc>
          <w:tcPr>
            <w:tcW w:w="736" w:type="dxa"/>
            <w:shd w:val="clear" w:color="auto" w:fill="auto"/>
            <w:vAlign w:val="center"/>
          </w:tcPr>
          <w:p w:rsidR="00F26BD4" w:rsidRPr="00AB1652" w:rsidRDefault="007A0CB2" w:rsidP="00E463E4">
            <w:pPr>
              <w:jc w:val="center"/>
              <w:rPr>
                <w:rFonts w:cs="Arial"/>
                <w:sz w:val="20"/>
              </w:rPr>
            </w:pPr>
            <w:r>
              <w:rPr>
                <w:rFonts w:cs="Arial"/>
                <w:sz w:val="20"/>
              </w:rPr>
              <w:t>25.0</w:t>
            </w:r>
          </w:p>
        </w:tc>
        <w:tc>
          <w:tcPr>
            <w:tcW w:w="849" w:type="dxa"/>
            <w:shd w:val="clear" w:color="auto" w:fill="auto"/>
            <w:vAlign w:val="center"/>
          </w:tcPr>
          <w:p w:rsidR="00F26BD4" w:rsidRPr="00AB1652" w:rsidRDefault="007A0CB2" w:rsidP="00E463E4">
            <w:pPr>
              <w:jc w:val="center"/>
              <w:rPr>
                <w:rFonts w:cs="Arial"/>
                <w:sz w:val="20"/>
              </w:rPr>
            </w:pPr>
            <w:r>
              <w:rPr>
                <w:rFonts w:cs="Arial"/>
                <w:sz w:val="20"/>
              </w:rPr>
              <w:t>2</w:t>
            </w:r>
          </w:p>
        </w:tc>
        <w:tc>
          <w:tcPr>
            <w:tcW w:w="740" w:type="dxa"/>
            <w:shd w:val="clear" w:color="auto" w:fill="auto"/>
            <w:vAlign w:val="center"/>
          </w:tcPr>
          <w:p w:rsidR="00F26BD4" w:rsidRPr="00AB1652" w:rsidRDefault="007A0CB2" w:rsidP="00E463E4">
            <w:pPr>
              <w:jc w:val="center"/>
              <w:rPr>
                <w:rFonts w:cs="Arial"/>
                <w:sz w:val="20"/>
              </w:rPr>
            </w:pPr>
            <w:r>
              <w:rPr>
                <w:rFonts w:cs="Arial"/>
                <w:sz w:val="20"/>
              </w:rPr>
              <w:t>50.0</w:t>
            </w:r>
          </w:p>
        </w:tc>
        <w:tc>
          <w:tcPr>
            <w:tcW w:w="849" w:type="dxa"/>
            <w:shd w:val="clear" w:color="auto" w:fill="auto"/>
            <w:vAlign w:val="center"/>
          </w:tcPr>
          <w:p w:rsidR="00F26BD4" w:rsidRPr="00AB1652" w:rsidRDefault="00F26BD4" w:rsidP="00E463E4">
            <w:pPr>
              <w:jc w:val="center"/>
              <w:rPr>
                <w:rFonts w:cs="Arial"/>
                <w:sz w:val="20"/>
              </w:rPr>
            </w:pPr>
          </w:p>
        </w:tc>
        <w:tc>
          <w:tcPr>
            <w:tcW w:w="734" w:type="dxa"/>
            <w:shd w:val="clear" w:color="auto" w:fill="auto"/>
            <w:vAlign w:val="center"/>
          </w:tcPr>
          <w:p w:rsidR="00F26BD4" w:rsidRPr="00AB1652" w:rsidRDefault="00F26BD4" w:rsidP="00E463E4">
            <w:pPr>
              <w:jc w:val="center"/>
              <w:rPr>
                <w:rFonts w:cs="Arial"/>
                <w:sz w:val="20"/>
              </w:rPr>
            </w:pPr>
          </w:p>
        </w:tc>
        <w:tc>
          <w:tcPr>
            <w:tcW w:w="849" w:type="dxa"/>
            <w:shd w:val="clear" w:color="auto" w:fill="auto"/>
            <w:vAlign w:val="center"/>
          </w:tcPr>
          <w:p w:rsidR="00F26BD4" w:rsidRPr="00AB1652" w:rsidRDefault="007A0CB2" w:rsidP="00E463E4">
            <w:pPr>
              <w:jc w:val="center"/>
              <w:rPr>
                <w:rFonts w:cs="Arial"/>
                <w:sz w:val="20"/>
              </w:rPr>
            </w:pPr>
            <w:r>
              <w:rPr>
                <w:rFonts w:cs="Arial"/>
                <w:sz w:val="20"/>
              </w:rPr>
              <w:t>4</w:t>
            </w:r>
          </w:p>
        </w:tc>
        <w:tc>
          <w:tcPr>
            <w:tcW w:w="732" w:type="dxa"/>
            <w:shd w:val="clear" w:color="auto" w:fill="auto"/>
            <w:vAlign w:val="center"/>
          </w:tcPr>
          <w:p w:rsidR="00F26BD4" w:rsidRPr="00AB1652" w:rsidRDefault="007A0CB2" w:rsidP="00E463E4">
            <w:pPr>
              <w:jc w:val="center"/>
              <w:rPr>
                <w:rFonts w:cs="Arial"/>
                <w:sz w:val="20"/>
              </w:rPr>
            </w:pPr>
            <w:r>
              <w:rPr>
                <w:rFonts w:cs="Arial"/>
                <w:sz w:val="20"/>
              </w:rPr>
              <w:t>100.0</w:t>
            </w:r>
          </w:p>
        </w:tc>
        <w:tc>
          <w:tcPr>
            <w:tcW w:w="849" w:type="dxa"/>
            <w:shd w:val="clear" w:color="auto" w:fill="auto"/>
            <w:vAlign w:val="center"/>
          </w:tcPr>
          <w:p w:rsidR="00F26BD4" w:rsidRPr="00AB1652" w:rsidRDefault="00F26BD4" w:rsidP="00E463E4">
            <w:pPr>
              <w:jc w:val="center"/>
              <w:rPr>
                <w:rFonts w:cs="Arial"/>
                <w:sz w:val="20"/>
              </w:rPr>
            </w:pPr>
          </w:p>
        </w:tc>
        <w:tc>
          <w:tcPr>
            <w:tcW w:w="734" w:type="dxa"/>
            <w:shd w:val="clear" w:color="auto" w:fill="auto"/>
            <w:vAlign w:val="center"/>
          </w:tcPr>
          <w:p w:rsidR="00F26BD4" w:rsidRPr="00AB1652" w:rsidRDefault="00F26BD4" w:rsidP="00E463E4">
            <w:pPr>
              <w:jc w:val="center"/>
              <w:rPr>
                <w:rFonts w:cs="Arial"/>
                <w:sz w:val="20"/>
              </w:rPr>
            </w:pPr>
          </w:p>
        </w:tc>
        <w:tc>
          <w:tcPr>
            <w:tcW w:w="2761" w:type="dxa"/>
            <w:shd w:val="clear" w:color="auto" w:fill="auto"/>
            <w:vAlign w:val="center"/>
          </w:tcPr>
          <w:p w:rsidR="00F26BD4" w:rsidRPr="00AB1652" w:rsidRDefault="007A0CB2" w:rsidP="00E463E4">
            <w:pPr>
              <w:jc w:val="center"/>
              <w:rPr>
                <w:rFonts w:cs="Arial"/>
                <w:sz w:val="20"/>
              </w:rPr>
            </w:pPr>
            <w:r>
              <w:rPr>
                <w:rFonts w:cs="Arial"/>
                <w:sz w:val="20"/>
              </w:rPr>
              <w:t>15.8</w:t>
            </w:r>
          </w:p>
        </w:tc>
      </w:tr>
      <w:tr w:rsidR="00CD4761" w:rsidRPr="00AB1652" w:rsidTr="00BA72B6">
        <w:trPr>
          <w:trHeight w:val="576"/>
        </w:trPr>
        <w:tc>
          <w:tcPr>
            <w:tcW w:w="2885" w:type="dxa"/>
            <w:shd w:val="clear" w:color="auto" w:fill="auto"/>
            <w:vAlign w:val="center"/>
          </w:tcPr>
          <w:p w:rsidR="00CD4761" w:rsidRPr="00AB1652" w:rsidRDefault="00CD4761" w:rsidP="00E463E4">
            <w:pPr>
              <w:rPr>
                <w:rFonts w:cs="Arial"/>
                <w:sz w:val="20"/>
              </w:rPr>
            </w:pPr>
            <w:r w:rsidRPr="00AB1652">
              <w:rPr>
                <w:rFonts w:cs="Arial"/>
                <w:sz w:val="20"/>
              </w:rPr>
              <w:t>Escalated to Investigation</w:t>
            </w:r>
          </w:p>
        </w:tc>
        <w:tc>
          <w:tcPr>
            <w:tcW w:w="851" w:type="dxa"/>
            <w:shd w:val="clear" w:color="auto" w:fill="auto"/>
            <w:vAlign w:val="center"/>
          </w:tcPr>
          <w:p w:rsidR="00CD4761" w:rsidRPr="00AB1652" w:rsidRDefault="007A0CB2" w:rsidP="00E463E4">
            <w:pPr>
              <w:jc w:val="center"/>
              <w:rPr>
                <w:rFonts w:cs="Arial"/>
                <w:sz w:val="20"/>
              </w:rPr>
            </w:pPr>
            <w:r>
              <w:rPr>
                <w:rFonts w:cs="Arial"/>
                <w:sz w:val="20"/>
              </w:rPr>
              <w:t>3</w:t>
            </w:r>
          </w:p>
        </w:tc>
        <w:tc>
          <w:tcPr>
            <w:tcW w:w="758" w:type="dxa"/>
            <w:shd w:val="clear" w:color="auto" w:fill="auto"/>
            <w:vAlign w:val="center"/>
          </w:tcPr>
          <w:p w:rsidR="00CD4761" w:rsidRPr="00AB1652" w:rsidRDefault="007A0CB2" w:rsidP="00E463E4">
            <w:pPr>
              <w:jc w:val="center"/>
              <w:rPr>
                <w:rFonts w:cs="Arial"/>
                <w:sz w:val="20"/>
              </w:rPr>
            </w:pPr>
            <w:r>
              <w:rPr>
                <w:rFonts w:cs="Arial"/>
                <w:sz w:val="20"/>
              </w:rPr>
              <w:t>6.0</w:t>
            </w:r>
          </w:p>
        </w:tc>
        <w:tc>
          <w:tcPr>
            <w:tcW w:w="849" w:type="dxa"/>
            <w:shd w:val="clear" w:color="auto" w:fill="auto"/>
            <w:vAlign w:val="center"/>
          </w:tcPr>
          <w:p w:rsidR="00CD4761" w:rsidRPr="00AB1652" w:rsidRDefault="007A0CB2" w:rsidP="00E463E4">
            <w:pPr>
              <w:jc w:val="center"/>
              <w:rPr>
                <w:rFonts w:cs="Arial"/>
                <w:sz w:val="20"/>
              </w:rPr>
            </w:pPr>
            <w:r>
              <w:rPr>
                <w:rFonts w:cs="Arial"/>
                <w:sz w:val="20"/>
              </w:rPr>
              <w:t>2</w:t>
            </w:r>
          </w:p>
        </w:tc>
        <w:tc>
          <w:tcPr>
            <w:tcW w:w="736" w:type="dxa"/>
            <w:shd w:val="clear" w:color="auto" w:fill="auto"/>
            <w:vAlign w:val="center"/>
          </w:tcPr>
          <w:p w:rsidR="00CD4761" w:rsidRPr="00AB1652" w:rsidRDefault="007A0CB2" w:rsidP="00E463E4">
            <w:pPr>
              <w:jc w:val="center"/>
              <w:rPr>
                <w:rFonts w:cs="Arial"/>
                <w:sz w:val="20"/>
              </w:rPr>
            </w:pPr>
            <w:r>
              <w:rPr>
                <w:rFonts w:cs="Arial"/>
                <w:sz w:val="20"/>
              </w:rPr>
              <w:t>66.7</w:t>
            </w:r>
          </w:p>
        </w:tc>
        <w:tc>
          <w:tcPr>
            <w:tcW w:w="849" w:type="dxa"/>
            <w:shd w:val="clear" w:color="auto" w:fill="auto"/>
            <w:vAlign w:val="center"/>
          </w:tcPr>
          <w:p w:rsidR="00CD4761" w:rsidRPr="00AB1652" w:rsidRDefault="007A0CB2" w:rsidP="00E463E4">
            <w:pPr>
              <w:jc w:val="center"/>
              <w:rPr>
                <w:rFonts w:cs="Arial"/>
                <w:sz w:val="20"/>
              </w:rPr>
            </w:pPr>
            <w:r>
              <w:rPr>
                <w:rFonts w:cs="Arial"/>
                <w:sz w:val="20"/>
              </w:rPr>
              <w:t>1</w:t>
            </w:r>
          </w:p>
        </w:tc>
        <w:tc>
          <w:tcPr>
            <w:tcW w:w="740" w:type="dxa"/>
            <w:shd w:val="clear" w:color="auto" w:fill="auto"/>
            <w:vAlign w:val="center"/>
          </w:tcPr>
          <w:p w:rsidR="00CD4761" w:rsidRPr="00AB1652" w:rsidRDefault="007A0CB2" w:rsidP="00E463E4">
            <w:pPr>
              <w:jc w:val="center"/>
              <w:rPr>
                <w:rFonts w:cs="Arial"/>
                <w:sz w:val="20"/>
              </w:rPr>
            </w:pPr>
            <w:r>
              <w:rPr>
                <w:rFonts w:cs="Arial"/>
                <w:sz w:val="20"/>
              </w:rPr>
              <w:t>33.3</w:t>
            </w:r>
          </w:p>
        </w:tc>
        <w:tc>
          <w:tcPr>
            <w:tcW w:w="849" w:type="dxa"/>
            <w:shd w:val="clear" w:color="auto" w:fill="auto"/>
            <w:vAlign w:val="center"/>
          </w:tcPr>
          <w:p w:rsidR="00CD4761" w:rsidRPr="00AB1652" w:rsidRDefault="007A0CB2" w:rsidP="00E463E4">
            <w:pPr>
              <w:jc w:val="center"/>
              <w:rPr>
                <w:rFonts w:cs="Arial"/>
                <w:sz w:val="20"/>
              </w:rPr>
            </w:pPr>
            <w:r>
              <w:rPr>
                <w:rFonts w:cs="Arial"/>
                <w:sz w:val="20"/>
              </w:rPr>
              <w:t>1</w:t>
            </w:r>
          </w:p>
        </w:tc>
        <w:tc>
          <w:tcPr>
            <w:tcW w:w="734" w:type="dxa"/>
            <w:shd w:val="clear" w:color="auto" w:fill="auto"/>
            <w:vAlign w:val="center"/>
          </w:tcPr>
          <w:p w:rsidR="00CD4761" w:rsidRPr="00AB1652" w:rsidRDefault="007A0CB2" w:rsidP="00E463E4">
            <w:pPr>
              <w:jc w:val="center"/>
              <w:rPr>
                <w:rFonts w:cs="Arial"/>
                <w:sz w:val="20"/>
              </w:rPr>
            </w:pPr>
            <w:r>
              <w:rPr>
                <w:rFonts w:cs="Arial"/>
                <w:sz w:val="20"/>
              </w:rPr>
              <w:t>33.3</w:t>
            </w:r>
          </w:p>
        </w:tc>
        <w:tc>
          <w:tcPr>
            <w:tcW w:w="849" w:type="dxa"/>
            <w:shd w:val="clear" w:color="auto" w:fill="auto"/>
            <w:vAlign w:val="center"/>
          </w:tcPr>
          <w:p w:rsidR="00CD4761" w:rsidRPr="00AB1652" w:rsidRDefault="007A0CB2" w:rsidP="00E463E4">
            <w:pPr>
              <w:jc w:val="center"/>
              <w:rPr>
                <w:rFonts w:cs="Arial"/>
                <w:sz w:val="20"/>
              </w:rPr>
            </w:pPr>
            <w:r>
              <w:rPr>
                <w:rFonts w:cs="Arial"/>
                <w:sz w:val="20"/>
              </w:rPr>
              <w:t>1</w:t>
            </w:r>
          </w:p>
        </w:tc>
        <w:tc>
          <w:tcPr>
            <w:tcW w:w="732" w:type="dxa"/>
            <w:shd w:val="clear" w:color="auto" w:fill="auto"/>
            <w:vAlign w:val="center"/>
          </w:tcPr>
          <w:p w:rsidR="00CD4761" w:rsidRPr="00AB1652" w:rsidRDefault="007A0CB2" w:rsidP="00E463E4">
            <w:pPr>
              <w:jc w:val="center"/>
              <w:rPr>
                <w:rFonts w:cs="Arial"/>
                <w:sz w:val="20"/>
              </w:rPr>
            </w:pPr>
            <w:r>
              <w:rPr>
                <w:rFonts w:cs="Arial"/>
                <w:sz w:val="20"/>
              </w:rPr>
              <w:t>33.3</w:t>
            </w:r>
          </w:p>
        </w:tc>
        <w:tc>
          <w:tcPr>
            <w:tcW w:w="849" w:type="dxa"/>
            <w:shd w:val="clear" w:color="auto" w:fill="auto"/>
            <w:vAlign w:val="center"/>
          </w:tcPr>
          <w:p w:rsidR="00CD4761" w:rsidRPr="00AB1652" w:rsidRDefault="007A0CB2" w:rsidP="00E463E4">
            <w:pPr>
              <w:jc w:val="center"/>
              <w:rPr>
                <w:rFonts w:cs="Arial"/>
                <w:sz w:val="20"/>
              </w:rPr>
            </w:pPr>
            <w:r>
              <w:rPr>
                <w:rFonts w:cs="Arial"/>
                <w:sz w:val="20"/>
              </w:rPr>
              <w:t>1</w:t>
            </w:r>
          </w:p>
        </w:tc>
        <w:tc>
          <w:tcPr>
            <w:tcW w:w="734" w:type="dxa"/>
            <w:shd w:val="clear" w:color="auto" w:fill="auto"/>
            <w:vAlign w:val="center"/>
          </w:tcPr>
          <w:p w:rsidR="00CD4761" w:rsidRPr="00AB1652" w:rsidRDefault="007A0CB2" w:rsidP="00E463E4">
            <w:pPr>
              <w:jc w:val="center"/>
              <w:rPr>
                <w:rFonts w:cs="Arial"/>
                <w:sz w:val="20"/>
              </w:rPr>
            </w:pPr>
            <w:r>
              <w:rPr>
                <w:rFonts w:cs="Arial"/>
                <w:sz w:val="20"/>
              </w:rPr>
              <w:t>33.3</w:t>
            </w:r>
          </w:p>
        </w:tc>
        <w:tc>
          <w:tcPr>
            <w:tcW w:w="2761" w:type="dxa"/>
            <w:shd w:val="clear" w:color="auto" w:fill="auto"/>
            <w:vAlign w:val="center"/>
          </w:tcPr>
          <w:p w:rsidR="00CD4761" w:rsidRPr="00AB1652" w:rsidRDefault="007A0CB2" w:rsidP="00E463E4">
            <w:pPr>
              <w:jc w:val="center"/>
              <w:rPr>
                <w:rFonts w:cs="Arial"/>
                <w:sz w:val="20"/>
              </w:rPr>
            </w:pPr>
            <w:r>
              <w:rPr>
                <w:rFonts w:cs="Arial"/>
                <w:sz w:val="20"/>
              </w:rPr>
              <w:t>11.6</w:t>
            </w:r>
          </w:p>
        </w:tc>
      </w:tr>
    </w:tbl>
    <w:p w:rsidR="00F26BD4" w:rsidRPr="00AB1652" w:rsidRDefault="00F26BD4" w:rsidP="00F26BD4">
      <w:pPr>
        <w:rPr>
          <w:sz w:val="20"/>
        </w:rPr>
      </w:pPr>
    </w:p>
    <w:p w:rsidR="00BA72B6" w:rsidRDefault="00BA72B6">
      <w:pPr>
        <w:rPr>
          <w:sz w:val="20"/>
        </w:rPr>
      </w:pPr>
    </w:p>
    <w:p w:rsidR="00BA72B6" w:rsidRDefault="00BA72B6">
      <w:pPr>
        <w:rPr>
          <w:sz w:val="20"/>
        </w:rPr>
      </w:pPr>
    </w:p>
    <w:p w:rsidR="00BA72B6" w:rsidRDefault="00BA72B6">
      <w:pPr>
        <w:rPr>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850"/>
        <w:gridCol w:w="759"/>
        <w:gridCol w:w="849"/>
        <w:gridCol w:w="763"/>
        <w:gridCol w:w="849"/>
        <w:gridCol w:w="757"/>
        <w:gridCol w:w="849"/>
        <w:gridCol w:w="731"/>
        <w:gridCol w:w="849"/>
        <w:gridCol w:w="765"/>
        <w:gridCol w:w="849"/>
        <w:gridCol w:w="730"/>
        <w:gridCol w:w="2723"/>
      </w:tblGrid>
      <w:tr w:rsidR="00F26BD4" w:rsidRPr="00AB1652" w:rsidTr="008A5AEB">
        <w:trPr>
          <w:trHeight w:val="576"/>
        </w:trPr>
        <w:tc>
          <w:tcPr>
            <w:tcW w:w="15176" w:type="dxa"/>
            <w:gridSpan w:val="14"/>
            <w:shd w:val="clear" w:color="auto" w:fill="auto"/>
            <w:vAlign w:val="center"/>
          </w:tcPr>
          <w:p w:rsidR="00F26BD4" w:rsidRPr="00AB1652" w:rsidRDefault="00F26BD4" w:rsidP="00E463E4">
            <w:pPr>
              <w:rPr>
                <w:rFonts w:cs="Arial"/>
                <w:b/>
                <w:sz w:val="20"/>
              </w:rPr>
            </w:pPr>
            <w:r w:rsidRPr="00AB1652">
              <w:rPr>
                <w:rFonts w:cs="Arial"/>
                <w:b/>
                <w:sz w:val="20"/>
              </w:rPr>
              <w:t>Chief Executive’s</w:t>
            </w:r>
          </w:p>
        </w:tc>
      </w:tr>
      <w:tr w:rsidR="00F26BD4" w:rsidRPr="00AB1652" w:rsidTr="008A5AEB">
        <w:trPr>
          <w:trHeight w:val="576"/>
        </w:trPr>
        <w:tc>
          <w:tcPr>
            <w:tcW w:w="2853" w:type="dxa"/>
            <w:shd w:val="clear" w:color="auto" w:fill="auto"/>
            <w:vAlign w:val="center"/>
          </w:tcPr>
          <w:p w:rsidR="00F26BD4" w:rsidRPr="00AB1652" w:rsidRDefault="00F26BD4" w:rsidP="00E463E4">
            <w:pPr>
              <w:rPr>
                <w:rFonts w:cs="Arial"/>
                <w:b/>
                <w:sz w:val="20"/>
              </w:rPr>
            </w:pPr>
            <w:r w:rsidRPr="00AB1652">
              <w:rPr>
                <w:rFonts w:cs="Arial"/>
                <w:b/>
                <w:sz w:val="20"/>
              </w:rPr>
              <w:t>Stage</w:t>
            </w:r>
          </w:p>
        </w:tc>
        <w:tc>
          <w:tcPr>
            <w:tcW w:w="1609" w:type="dxa"/>
            <w:gridSpan w:val="2"/>
            <w:shd w:val="clear" w:color="auto" w:fill="auto"/>
            <w:vAlign w:val="center"/>
          </w:tcPr>
          <w:p w:rsidR="00F26BD4" w:rsidRPr="00AB1652" w:rsidRDefault="00F26BD4" w:rsidP="00E463E4">
            <w:pPr>
              <w:rPr>
                <w:rFonts w:cs="Arial"/>
                <w:b/>
                <w:sz w:val="20"/>
              </w:rPr>
            </w:pPr>
            <w:r w:rsidRPr="00AB1652">
              <w:rPr>
                <w:rFonts w:cs="Arial"/>
                <w:b/>
                <w:sz w:val="20"/>
              </w:rPr>
              <w:t>Total</w:t>
            </w:r>
          </w:p>
        </w:tc>
        <w:tc>
          <w:tcPr>
            <w:tcW w:w="1612" w:type="dxa"/>
            <w:gridSpan w:val="2"/>
            <w:shd w:val="clear" w:color="auto" w:fill="auto"/>
            <w:vAlign w:val="center"/>
          </w:tcPr>
          <w:p w:rsidR="00F26BD4" w:rsidRPr="00AB1652" w:rsidRDefault="00F26BD4" w:rsidP="00E463E4">
            <w:pPr>
              <w:rPr>
                <w:rFonts w:cs="Arial"/>
                <w:b/>
                <w:sz w:val="20"/>
              </w:rPr>
            </w:pPr>
            <w:r w:rsidRPr="00AB1652">
              <w:rPr>
                <w:rFonts w:cs="Arial"/>
                <w:b/>
                <w:sz w:val="20"/>
              </w:rPr>
              <w:t>Within Target</w:t>
            </w:r>
          </w:p>
        </w:tc>
        <w:tc>
          <w:tcPr>
            <w:tcW w:w="1606" w:type="dxa"/>
            <w:gridSpan w:val="2"/>
            <w:shd w:val="clear" w:color="auto" w:fill="auto"/>
            <w:vAlign w:val="center"/>
          </w:tcPr>
          <w:p w:rsidR="00F26BD4" w:rsidRPr="00AB1652" w:rsidRDefault="00F26BD4" w:rsidP="00E463E4">
            <w:pPr>
              <w:rPr>
                <w:rFonts w:cs="Arial"/>
                <w:b/>
                <w:sz w:val="20"/>
              </w:rPr>
            </w:pPr>
            <w:r w:rsidRPr="00AB1652">
              <w:rPr>
                <w:rFonts w:cs="Arial"/>
                <w:b/>
                <w:sz w:val="20"/>
              </w:rPr>
              <w:t>With Extension</w:t>
            </w:r>
          </w:p>
        </w:tc>
        <w:tc>
          <w:tcPr>
            <w:tcW w:w="1580" w:type="dxa"/>
            <w:gridSpan w:val="2"/>
            <w:shd w:val="clear" w:color="auto" w:fill="auto"/>
            <w:vAlign w:val="center"/>
          </w:tcPr>
          <w:p w:rsidR="00F26BD4" w:rsidRPr="00AB1652" w:rsidRDefault="00F26BD4" w:rsidP="00E463E4">
            <w:pPr>
              <w:rPr>
                <w:rFonts w:cs="Arial"/>
                <w:b/>
                <w:sz w:val="20"/>
              </w:rPr>
            </w:pPr>
            <w:r w:rsidRPr="00AB1652">
              <w:rPr>
                <w:rFonts w:cs="Arial"/>
                <w:b/>
                <w:sz w:val="20"/>
              </w:rPr>
              <w:t>Upheld</w:t>
            </w:r>
          </w:p>
        </w:tc>
        <w:tc>
          <w:tcPr>
            <w:tcW w:w="1614" w:type="dxa"/>
            <w:gridSpan w:val="2"/>
            <w:shd w:val="clear" w:color="auto" w:fill="auto"/>
            <w:vAlign w:val="center"/>
          </w:tcPr>
          <w:p w:rsidR="00F26BD4" w:rsidRPr="00AB1652" w:rsidRDefault="00F26BD4" w:rsidP="00E463E4">
            <w:pPr>
              <w:rPr>
                <w:rFonts w:cs="Arial"/>
                <w:b/>
                <w:sz w:val="20"/>
              </w:rPr>
            </w:pPr>
            <w:r w:rsidRPr="00AB1652">
              <w:rPr>
                <w:rFonts w:cs="Arial"/>
                <w:b/>
                <w:sz w:val="20"/>
              </w:rPr>
              <w:t>Not upheld</w:t>
            </w:r>
          </w:p>
        </w:tc>
        <w:tc>
          <w:tcPr>
            <w:tcW w:w="1579" w:type="dxa"/>
            <w:gridSpan w:val="2"/>
            <w:shd w:val="clear" w:color="auto" w:fill="auto"/>
            <w:vAlign w:val="center"/>
          </w:tcPr>
          <w:p w:rsidR="00F26BD4" w:rsidRPr="00AB1652" w:rsidRDefault="00F26BD4" w:rsidP="00E463E4">
            <w:pPr>
              <w:rPr>
                <w:rFonts w:cs="Arial"/>
                <w:b/>
                <w:sz w:val="20"/>
              </w:rPr>
            </w:pPr>
            <w:r w:rsidRPr="00AB1652">
              <w:rPr>
                <w:rFonts w:cs="Arial"/>
                <w:b/>
                <w:sz w:val="20"/>
              </w:rPr>
              <w:t xml:space="preserve">Partially upheld </w:t>
            </w:r>
          </w:p>
        </w:tc>
        <w:tc>
          <w:tcPr>
            <w:tcW w:w="2723" w:type="dxa"/>
            <w:shd w:val="clear" w:color="auto" w:fill="auto"/>
            <w:vAlign w:val="center"/>
          </w:tcPr>
          <w:p w:rsidR="00F26BD4" w:rsidRPr="00AB1652" w:rsidRDefault="00F26BD4" w:rsidP="00E463E4">
            <w:pPr>
              <w:rPr>
                <w:rFonts w:cs="Arial"/>
                <w:b/>
                <w:sz w:val="20"/>
              </w:rPr>
            </w:pPr>
            <w:r w:rsidRPr="00AB1652">
              <w:rPr>
                <w:rFonts w:cs="Arial"/>
                <w:b/>
                <w:sz w:val="20"/>
              </w:rPr>
              <w:t>Average days to resolve</w:t>
            </w:r>
          </w:p>
        </w:tc>
      </w:tr>
      <w:tr w:rsidR="00F26BD4" w:rsidRPr="00AB1652" w:rsidTr="008A5AEB">
        <w:trPr>
          <w:trHeight w:val="576"/>
        </w:trPr>
        <w:tc>
          <w:tcPr>
            <w:tcW w:w="2853" w:type="dxa"/>
            <w:shd w:val="clear" w:color="auto" w:fill="auto"/>
            <w:vAlign w:val="center"/>
          </w:tcPr>
          <w:p w:rsidR="00F26BD4" w:rsidRPr="00AB1652" w:rsidRDefault="00F26BD4" w:rsidP="00E463E4">
            <w:pPr>
              <w:rPr>
                <w:rFonts w:cs="Arial"/>
                <w:b/>
                <w:sz w:val="20"/>
              </w:rPr>
            </w:pPr>
          </w:p>
        </w:tc>
        <w:tc>
          <w:tcPr>
            <w:tcW w:w="850"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59"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63"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57"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31"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65"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49"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30"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2723" w:type="dxa"/>
            <w:shd w:val="clear" w:color="auto" w:fill="auto"/>
            <w:vAlign w:val="center"/>
          </w:tcPr>
          <w:p w:rsidR="00F26BD4" w:rsidRPr="00AB1652" w:rsidRDefault="00F26BD4" w:rsidP="00E463E4">
            <w:pPr>
              <w:rPr>
                <w:rFonts w:cs="Arial"/>
                <w:b/>
                <w:sz w:val="20"/>
              </w:rPr>
            </w:pPr>
          </w:p>
        </w:tc>
      </w:tr>
      <w:tr w:rsidR="00F26BD4" w:rsidRPr="00AB1652" w:rsidTr="008A5AEB">
        <w:trPr>
          <w:trHeight w:val="576"/>
        </w:trPr>
        <w:tc>
          <w:tcPr>
            <w:tcW w:w="2853" w:type="dxa"/>
            <w:shd w:val="clear" w:color="auto" w:fill="auto"/>
            <w:vAlign w:val="center"/>
          </w:tcPr>
          <w:p w:rsidR="00F26BD4" w:rsidRPr="00AB1652" w:rsidRDefault="00F26BD4" w:rsidP="00E463E4">
            <w:pPr>
              <w:rPr>
                <w:rFonts w:cs="Arial"/>
                <w:sz w:val="20"/>
              </w:rPr>
            </w:pPr>
            <w:r w:rsidRPr="00AB1652">
              <w:rPr>
                <w:rFonts w:cs="Arial"/>
                <w:sz w:val="20"/>
              </w:rPr>
              <w:t>Frontline</w:t>
            </w:r>
          </w:p>
        </w:tc>
        <w:tc>
          <w:tcPr>
            <w:tcW w:w="850" w:type="dxa"/>
            <w:shd w:val="clear" w:color="auto" w:fill="auto"/>
            <w:vAlign w:val="center"/>
          </w:tcPr>
          <w:p w:rsidR="00F26BD4" w:rsidRPr="00AB1652" w:rsidRDefault="007A0CB2" w:rsidP="00E463E4">
            <w:pPr>
              <w:jc w:val="center"/>
              <w:rPr>
                <w:rFonts w:cs="Arial"/>
                <w:sz w:val="20"/>
              </w:rPr>
            </w:pPr>
            <w:r>
              <w:rPr>
                <w:rFonts w:cs="Arial"/>
                <w:sz w:val="20"/>
              </w:rPr>
              <w:t>4</w:t>
            </w:r>
          </w:p>
        </w:tc>
        <w:tc>
          <w:tcPr>
            <w:tcW w:w="759" w:type="dxa"/>
            <w:shd w:val="clear" w:color="auto" w:fill="auto"/>
            <w:vAlign w:val="center"/>
          </w:tcPr>
          <w:p w:rsidR="00F26BD4" w:rsidRPr="00AB1652" w:rsidRDefault="007A0CB2" w:rsidP="00E463E4">
            <w:pPr>
              <w:jc w:val="center"/>
              <w:rPr>
                <w:rFonts w:cs="Arial"/>
                <w:sz w:val="20"/>
              </w:rPr>
            </w:pPr>
            <w:r>
              <w:rPr>
                <w:rFonts w:cs="Arial"/>
                <w:sz w:val="20"/>
              </w:rPr>
              <w:t>66.7</w:t>
            </w:r>
          </w:p>
        </w:tc>
        <w:tc>
          <w:tcPr>
            <w:tcW w:w="849" w:type="dxa"/>
            <w:shd w:val="clear" w:color="auto" w:fill="auto"/>
            <w:vAlign w:val="center"/>
          </w:tcPr>
          <w:p w:rsidR="00F26BD4" w:rsidRPr="00AB1652" w:rsidRDefault="007A0CB2" w:rsidP="00E463E4">
            <w:pPr>
              <w:jc w:val="center"/>
              <w:rPr>
                <w:rFonts w:cs="Arial"/>
                <w:sz w:val="20"/>
              </w:rPr>
            </w:pPr>
            <w:r>
              <w:rPr>
                <w:rFonts w:cs="Arial"/>
                <w:sz w:val="20"/>
              </w:rPr>
              <w:t>4</w:t>
            </w:r>
          </w:p>
        </w:tc>
        <w:tc>
          <w:tcPr>
            <w:tcW w:w="763" w:type="dxa"/>
            <w:shd w:val="clear" w:color="auto" w:fill="auto"/>
            <w:vAlign w:val="center"/>
          </w:tcPr>
          <w:p w:rsidR="00F26BD4" w:rsidRPr="00AB1652" w:rsidRDefault="007A0CB2" w:rsidP="00E463E4">
            <w:pPr>
              <w:jc w:val="center"/>
              <w:rPr>
                <w:rFonts w:cs="Arial"/>
                <w:sz w:val="20"/>
              </w:rPr>
            </w:pPr>
            <w:r>
              <w:rPr>
                <w:rFonts w:cs="Arial"/>
                <w:sz w:val="20"/>
              </w:rPr>
              <w:t>100.0</w:t>
            </w:r>
          </w:p>
        </w:tc>
        <w:tc>
          <w:tcPr>
            <w:tcW w:w="849" w:type="dxa"/>
            <w:shd w:val="clear" w:color="auto" w:fill="auto"/>
            <w:vAlign w:val="center"/>
          </w:tcPr>
          <w:p w:rsidR="00F26BD4" w:rsidRPr="00AB1652" w:rsidRDefault="00F26BD4" w:rsidP="00E463E4">
            <w:pPr>
              <w:jc w:val="center"/>
              <w:rPr>
                <w:rFonts w:cs="Arial"/>
                <w:sz w:val="20"/>
              </w:rPr>
            </w:pPr>
          </w:p>
        </w:tc>
        <w:tc>
          <w:tcPr>
            <w:tcW w:w="757" w:type="dxa"/>
            <w:shd w:val="clear" w:color="auto" w:fill="auto"/>
            <w:vAlign w:val="center"/>
          </w:tcPr>
          <w:p w:rsidR="00F26BD4" w:rsidRPr="00AB1652" w:rsidRDefault="00F26BD4" w:rsidP="00E463E4">
            <w:pPr>
              <w:jc w:val="center"/>
              <w:rPr>
                <w:rFonts w:cs="Arial"/>
                <w:sz w:val="20"/>
              </w:rPr>
            </w:pPr>
          </w:p>
        </w:tc>
        <w:tc>
          <w:tcPr>
            <w:tcW w:w="849" w:type="dxa"/>
            <w:shd w:val="clear" w:color="auto" w:fill="auto"/>
            <w:vAlign w:val="center"/>
          </w:tcPr>
          <w:p w:rsidR="00F26BD4" w:rsidRPr="00AB1652" w:rsidRDefault="00F26BD4" w:rsidP="00E463E4">
            <w:pPr>
              <w:jc w:val="center"/>
              <w:rPr>
                <w:rFonts w:cs="Arial"/>
                <w:sz w:val="20"/>
              </w:rPr>
            </w:pPr>
          </w:p>
        </w:tc>
        <w:tc>
          <w:tcPr>
            <w:tcW w:w="731" w:type="dxa"/>
            <w:shd w:val="clear" w:color="auto" w:fill="auto"/>
            <w:vAlign w:val="center"/>
          </w:tcPr>
          <w:p w:rsidR="00F26BD4" w:rsidRPr="00AB1652" w:rsidRDefault="00F26BD4" w:rsidP="00E463E4">
            <w:pPr>
              <w:jc w:val="center"/>
              <w:rPr>
                <w:rFonts w:cs="Arial"/>
                <w:sz w:val="20"/>
              </w:rPr>
            </w:pPr>
          </w:p>
        </w:tc>
        <w:tc>
          <w:tcPr>
            <w:tcW w:w="849" w:type="dxa"/>
            <w:shd w:val="clear" w:color="auto" w:fill="auto"/>
            <w:vAlign w:val="center"/>
          </w:tcPr>
          <w:p w:rsidR="00F26BD4" w:rsidRPr="00AB1652" w:rsidRDefault="00EB7C99" w:rsidP="00E463E4">
            <w:pPr>
              <w:jc w:val="center"/>
              <w:rPr>
                <w:rFonts w:cs="Arial"/>
                <w:sz w:val="20"/>
              </w:rPr>
            </w:pPr>
            <w:r>
              <w:rPr>
                <w:rFonts w:cs="Arial"/>
                <w:sz w:val="20"/>
              </w:rPr>
              <w:t>4</w:t>
            </w:r>
          </w:p>
        </w:tc>
        <w:tc>
          <w:tcPr>
            <w:tcW w:w="765" w:type="dxa"/>
            <w:shd w:val="clear" w:color="auto" w:fill="auto"/>
            <w:vAlign w:val="center"/>
          </w:tcPr>
          <w:p w:rsidR="00F26BD4" w:rsidRPr="00AB1652" w:rsidRDefault="00EB7C99" w:rsidP="00E463E4">
            <w:pPr>
              <w:jc w:val="center"/>
              <w:rPr>
                <w:rFonts w:cs="Arial"/>
                <w:sz w:val="20"/>
              </w:rPr>
            </w:pPr>
            <w:r>
              <w:rPr>
                <w:rFonts w:cs="Arial"/>
                <w:sz w:val="20"/>
              </w:rPr>
              <w:t>100.0</w:t>
            </w:r>
          </w:p>
        </w:tc>
        <w:tc>
          <w:tcPr>
            <w:tcW w:w="849" w:type="dxa"/>
            <w:shd w:val="clear" w:color="auto" w:fill="auto"/>
            <w:vAlign w:val="center"/>
          </w:tcPr>
          <w:p w:rsidR="00F26BD4" w:rsidRPr="00AB1652" w:rsidRDefault="00F26BD4" w:rsidP="00E463E4">
            <w:pPr>
              <w:jc w:val="center"/>
              <w:rPr>
                <w:rFonts w:cs="Arial"/>
                <w:sz w:val="20"/>
              </w:rPr>
            </w:pPr>
          </w:p>
        </w:tc>
        <w:tc>
          <w:tcPr>
            <w:tcW w:w="730" w:type="dxa"/>
            <w:shd w:val="clear" w:color="auto" w:fill="auto"/>
            <w:vAlign w:val="center"/>
          </w:tcPr>
          <w:p w:rsidR="00F26BD4" w:rsidRPr="00AB1652" w:rsidRDefault="00F26BD4" w:rsidP="00E463E4">
            <w:pPr>
              <w:jc w:val="center"/>
              <w:rPr>
                <w:rFonts w:cs="Arial"/>
                <w:sz w:val="20"/>
              </w:rPr>
            </w:pPr>
          </w:p>
        </w:tc>
        <w:tc>
          <w:tcPr>
            <w:tcW w:w="2723" w:type="dxa"/>
            <w:shd w:val="clear" w:color="auto" w:fill="auto"/>
            <w:vAlign w:val="center"/>
          </w:tcPr>
          <w:p w:rsidR="00F26BD4" w:rsidRPr="00AB1652" w:rsidRDefault="00EB7C99" w:rsidP="00E463E4">
            <w:pPr>
              <w:jc w:val="center"/>
              <w:rPr>
                <w:rFonts w:cs="Arial"/>
                <w:sz w:val="20"/>
              </w:rPr>
            </w:pPr>
            <w:r>
              <w:rPr>
                <w:rFonts w:cs="Arial"/>
                <w:sz w:val="20"/>
              </w:rPr>
              <w:t>1.0</w:t>
            </w:r>
          </w:p>
        </w:tc>
      </w:tr>
      <w:tr w:rsidR="00CD4761" w:rsidRPr="00AB1652" w:rsidTr="008A5AEB">
        <w:trPr>
          <w:trHeight w:val="576"/>
        </w:trPr>
        <w:tc>
          <w:tcPr>
            <w:tcW w:w="2853" w:type="dxa"/>
            <w:shd w:val="clear" w:color="auto" w:fill="auto"/>
            <w:vAlign w:val="center"/>
          </w:tcPr>
          <w:p w:rsidR="00CD4761" w:rsidRPr="00AB1652" w:rsidRDefault="00CD4761" w:rsidP="00E463E4">
            <w:pPr>
              <w:rPr>
                <w:rFonts w:cs="Arial"/>
                <w:sz w:val="20"/>
              </w:rPr>
            </w:pPr>
            <w:r w:rsidRPr="00AB1652">
              <w:rPr>
                <w:rFonts w:cs="Arial"/>
                <w:sz w:val="20"/>
              </w:rPr>
              <w:t>Opened at Investigation</w:t>
            </w:r>
          </w:p>
        </w:tc>
        <w:tc>
          <w:tcPr>
            <w:tcW w:w="850" w:type="dxa"/>
            <w:shd w:val="clear" w:color="auto" w:fill="auto"/>
            <w:vAlign w:val="center"/>
          </w:tcPr>
          <w:p w:rsidR="00CD4761" w:rsidRPr="00AB1652" w:rsidRDefault="007A0CB2" w:rsidP="00E463E4">
            <w:pPr>
              <w:jc w:val="center"/>
              <w:rPr>
                <w:rFonts w:cs="Arial"/>
                <w:sz w:val="20"/>
              </w:rPr>
            </w:pPr>
            <w:r>
              <w:rPr>
                <w:rFonts w:cs="Arial"/>
                <w:sz w:val="20"/>
              </w:rPr>
              <w:t>1</w:t>
            </w:r>
          </w:p>
        </w:tc>
        <w:tc>
          <w:tcPr>
            <w:tcW w:w="759" w:type="dxa"/>
            <w:shd w:val="clear" w:color="auto" w:fill="auto"/>
            <w:vAlign w:val="center"/>
          </w:tcPr>
          <w:p w:rsidR="00CD4761" w:rsidRPr="00AB1652" w:rsidRDefault="007A0CB2" w:rsidP="00E463E4">
            <w:pPr>
              <w:jc w:val="center"/>
              <w:rPr>
                <w:rFonts w:cs="Arial"/>
                <w:sz w:val="20"/>
              </w:rPr>
            </w:pPr>
            <w:r>
              <w:rPr>
                <w:rFonts w:cs="Arial"/>
                <w:sz w:val="20"/>
              </w:rPr>
              <w:t>16.7</w:t>
            </w:r>
          </w:p>
        </w:tc>
        <w:tc>
          <w:tcPr>
            <w:tcW w:w="849" w:type="dxa"/>
            <w:shd w:val="clear" w:color="auto" w:fill="auto"/>
            <w:vAlign w:val="center"/>
          </w:tcPr>
          <w:p w:rsidR="00CD4761" w:rsidRPr="00AB1652" w:rsidRDefault="007A0CB2" w:rsidP="00E463E4">
            <w:pPr>
              <w:jc w:val="center"/>
              <w:rPr>
                <w:rFonts w:cs="Arial"/>
                <w:sz w:val="20"/>
              </w:rPr>
            </w:pPr>
            <w:r>
              <w:rPr>
                <w:rFonts w:cs="Arial"/>
                <w:sz w:val="20"/>
              </w:rPr>
              <w:t>1</w:t>
            </w:r>
          </w:p>
        </w:tc>
        <w:tc>
          <w:tcPr>
            <w:tcW w:w="763" w:type="dxa"/>
            <w:shd w:val="clear" w:color="auto" w:fill="auto"/>
            <w:vAlign w:val="center"/>
          </w:tcPr>
          <w:p w:rsidR="00CD4761" w:rsidRPr="00AB1652" w:rsidRDefault="007A0CB2" w:rsidP="00E463E4">
            <w:pPr>
              <w:jc w:val="center"/>
              <w:rPr>
                <w:rFonts w:cs="Arial"/>
                <w:sz w:val="20"/>
              </w:rPr>
            </w:pPr>
            <w:r>
              <w:rPr>
                <w:rFonts w:cs="Arial"/>
                <w:sz w:val="20"/>
              </w:rPr>
              <w:t>100.0</w:t>
            </w:r>
          </w:p>
        </w:tc>
        <w:tc>
          <w:tcPr>
            <w:tcW w:w="849" w:type="dxa"/>
            <w:shd w:val="clear" w:color="auto" w:fill="auto"/>
            <w:vAlign w:val="center"/>
          </w:tcPr>
          <w:p w:rsidR="00CD4761" w:rsidRPr="00AB1652" w:rsidRDefault="00CD4761" w:rsidP="00E463E4">
            <w:pPr>
              <w:jc w:val="center"/>
              <w:rPr>
                <w:rFonts w:cs="Arial"/>
                <w:sz w:val="20"/>
              </w:rPr>
            </w:pPr>
          </w:p>
        </w:tc>
        <w:tc>
          <w:tcPr>
            <w:tcW w:w="757" w:type="dxa"/>
            <w:shd w:val="clear" w:color="auto" w:fill="auto"/>
            <w:vAlign w:val="center"/>
          </w:tcPr>
          <w:p w:rsidR="00CD4761" w:rsidRPr="00AB1652" w:rsidRDefault="00CD4761" w:rsidP="00E463E4">
            <w:pPr>
              <w:jc w:val="center"/>
              <w:rPr>
                <w:rFonts w:cs="Arial"/>
                <w:sz w:val="20"/>
              </w:rPr>
            </w:pPr>
          </w:p>
        </w:tc>
        <w:tc>
          <w:tcPr>
            <w:tcW w:w="849" w:type="dxa"/>
            <w:shd w:val="clear" w:color="auto" w:fill="auto"/>
            <w:vAlign w:val="center"/>
          </w:tcPr>
          <w:p w:rsidR="00CD4761" w:rsidRPr="00AB1652" w:rsidRDefault="00CD4761" w:rsidP="00E463E4">
            <w:pPr>
              <w:jc w:val="center"/>
              <w:rPr>
                <w:rFonts w:cs="Arial"/>
                <w:sz w:val="20"/>
              </w:rPr>
            </w:pPr>
          </w:p>
        </w:tc>
        <w:tc>
          <w:tcPr>
            <w:tcW w:w="731" w:type="dxa"/>
            <w:shd w:val="clear" w:color="auto" w:fill="auto"/>
            <w:vAlign w:val="center"/>
          </w:tcPr>
          <w:p w:rsidR="00CD4761" w:rsidRPr="00AB1652" w:rsidRDefault="00CD4761" w:rsidP="00E463E4">
            <w:pPr>
              <w:jc w:val="center"/>
              <w:rPr>
                <w:rFonts w:cs="Arial"/>
                <w:sz w:val="20"/>
              </w:rPr>
            </w:pPr>
          </w:p>
        </w:tc>
        <w:tc>
          <w:tcPr>
            <w:tcW w:w="849" w:type="dxa"/>
            <w:shd w:val="clear" w:color="auto" w:fill="auto"/>
            <w:vAlign w:val="center"/>
          </w:tcPr>
          <w:p w:rsidR="00CD4761" w:rsidRPr="00AB1652" w:rsidRDefault="00EB7C99" w:rsidP="00E463E4">
            <w:pPr>
              <w:jc w:val="center"/>
              <w:rPr>
                <w:rFonts w:cs="Arial"/>
                <w:sz w:val="20"/>
              </w:rPr>
            </w:pPr>
            <w:r>
              <w:rPr>
                <w:rFonts w:cs="Arial"/>
                <w:sz w:val="20"/>
              </w:rPr>
              <w:t>1</w:t>
            </w:r>
          </w:p>
        </w:tc>
        <w:tc>
          <w:tcPr>
            <w:tcW w:w="765" w:type="dxa"/>
            <w:shd w:val="clear" w:color="auto" w:fill="auto"/>
            <w:vAlign w:val="center"/>
          </w:tcPr>
          <w:p w:rsidR="00CD4761" w:rsidRPr="00AB1652" w:rsidRDefault="00EB7C99" w:rsidP="00E463E4">
            <w:pPr>
              <w:jc w:val="center"/>
              <w:rPr>
                <w:rFonts w:cs="Arial"/>
                <w:sz w:val="20"/>
              </w:rPr>
            </w:pPr>
            <w:r>
              <w:rPr>
                <w:rFonts w:cs="Arial"/>
                <w:sz w:val="20"/>
              </w:rPr>
              <w:t>100.0</w:t>
            </w:r>
          </w:p>
        </w:tc>
        <w:tc>
          <w:tcPr>
            <w:tcW w:w="849" w:type="dxa"/>
            <w:shd w:val="clear" w:color="auto" w:fill="auto"/>
            <w:vAlign w:val="center"/>
          </w:tcPr>
          <w:p w:rsidR="00CD4761" w:rsidRPr="00AB1652" w:rsidRDefault="00CD4761" w:rsidP="00E463E4">
            <w:pPr>
              <w:jc w:val="center"/>
              <w:rPr>
                <w:rFonts w:cs="Arial"/>
                <w:sz w:val="20"/>
              </w:rPr>
            </w:pPr>
          </w:p>
        </w:tc>
        <w:tc>
          <w:tcPr>
            <w:tcW w:w="730" w:type="dxa"/>
            <w:shd w:val="clear" w:color="auto" w:fill="auto"/>
            <w:vAlign w:val="center"/>
          </w:tcPr>
          <w:p w:rsidR="00CD4761" w:rsidRPr="00AB1652" w:rsidRDefault="00CD4761" w:rsidP="00E463E4">
            <w:pPr>
              <w:jc w:val="center"/>
              <w:rPr>
                <w:rFonts w:cs="Arial"/>
                <w:sz w:val="20"/>
              </w:rPr>
            </w:pPr>
          </w:p>
        </w:tc>
        <w:tc>
          <w:tcPr>
            <w:tcW w:w="2723" w:type="dxa"/>
            <w:shd w:val="clear" w:color="auto" w:fill="auto"/>
            <w:vAlign w:val="center"/>
          </w:tcPr>
          <w:p w:rsidR="00CD4761" w:rsidRPr="00AB1652" w:rsidRDefault="00EB7C99" w:rsidP="00E463E4">
            <w:pPr>
              <w:jc w:val="center"/>
              <w:rPr>
                <w:rFonts w:cs="Arial"/>
                <w:sz w:val="20"/>
              </w:rPr>
            </w:pPr>
            <w:r>
              <w:rPr>
                <w:rFonts w:cs="Arial"/>
                <w:sz w:val="20"/>
              </w:rPr>
              <w:t>3.0</w:t>
            </w:r>
          </w:p>
        </w:tc>
      </w:tr>
      <w:tr w:rsidR="00CD4761" w:rsidRPr="00AB1652" w:rsidTr="008A5AEB">
        <w:trPr>
          <w:trHeight w:val="576"/>
        </w:trPr>
        <w:tc>
          <w:tcPr>
            <w:tcW w:w="2853" w:type="dxa"/>
            <w:shd w:val="clear" w:color="auto" w:fill="auto"/>
            <w:vAlign w:val="center"/>
          </w:tcPr>
          <w:p w:rsidR="00CD4761" w:rsidRPr="00AB1652" w:rsidRDefault="00AE73D0" w:rsidP="00E463E4">
            <w:pPr>
              <w:rPr>
                <w:rFonts w:cs="Arial"/>
                <w:sz w:val="20"/>
              </w:rPr>
            </w:pPr>
            <w:r>
              <w:rPr>
                <w:rFonts w:cs="Arial"/>
                <w:sz w:val="20"/>
              </w:rPr>
              <w:t>Escalated to Investigation</w:t>
            </w:r>
          </w:p>
        </w:tc>
        <w:tc>
          <w:tcPr>
            <w:tcW w:w="850" w:type="dxa"/>
            <w:shd w:val="clear" w:color="auto" w:fill="auto"/>
            <w:vAlign w:val="center"/>
          </w:tcPr>
          <w:p w:rsidR="00CD4761" w:rsidRPr="00AB1652" w:rsidRDefault="007A0CB2" w:rsidP="00E463E4">
            <w:pPr>
              <w:jc w:val="center"/>
              <w:rPr>
                <w:rFonts w:cs="Arial"/>
                <w:sz w:val="20"/>
              </w:rPr>
            </w:pPr>
            <w:r>
              <w:rPr>
                <w:rFonts w:cs="Arial"/>
                <w:sz w:val="20"/>
              </w:rPr>
              <w:t>1</w:t>
            </w:r>
          </w:p>
        </w:tc>
        <w:tc>
          <w:tcPr>
            <w:tcW w:w="759" w:type="dxa"/>
            <w:shd w:val="clear" w:color="auto" w:fill="auto"/>
            <w:vAlign w:val="center"/>
          </w:tcPr>
          <w:p w:rsidR="00CD4761" w:rsidRPr="00AB1652" w:rsidRDefault="007A0CB2" w:rsidP="00E463E4">
            <w:pPr>
              <w:jc w:val="center"/>
              <w:rPr>
                <w:rFonts w:cs="Arial"/>
                <w:sz w:val="20"/>
              </w:rPr>
            </w:pPr>
            <w:r>
              <w:rPr>
                <w:rFonts w:cs="Arial"/>
                <w:sz w:val="20"/>
              </w:rPr>
              <w:t>16.7</w:t>
            </w:r>
          </w:p>
        </w:tc>
        <w:tc>
          <w:tcPr>
            <w:tcW w:w="849" w:type="dxa"/>
            <w:shd w:val="clear" w:color="auto" w:fill="auto"/>
            <w:vAlign w:val="center"/>
          </w:tcPr>
          <w:p w:rsidR="00CD4761" w:rsidRPr="00AB1652" w:rsidRDefault="007A0CB2" w:rsidP="00E463E4">
            <w:pPr>
              <w:jc w:val="center"/>
              <w:rPr>
                <w:rFonts w:cs="Arial"/>
                <w:sz w:val="20"/>
              </w:rPr>
            </w:pPr>
            <w:r>
              <w:rPr>
                <w:rFonts w:cs="Arial"/>
                <w:sz w:val="20"/>
              </w:rPr>
              <w:t>1</w:t>
            </w:r>
          </w:p>
        </w:tc>
        <w:tc>
          <w:tcPr>
            <w:tcW w:w="763" w:type="dxa"/>
            <w:shd w:val="clear" w:color="auto" w:fill="auto"/>
            <w:vAlign w:val="center"/>
          </w:tcPr>
          <w:p w:rsidR="00CD4761" w:rsidRPr="00AB1652" w:rsidRDefault="007A0CB2" w:rsidP="00E463E4">
            <w:pPr>
              <w:jc w:val="center"/>
              <w:rPr>
                <w:rFonts w:cs="Arial"/>
                <w:sz w:val="20"/>
              </w:rPr>
            </w:pPr>
            <w:r>
              <w:rPr>
                <w:rFonts w:cs="Arial"/>
                <w:sz w:val="20"/>
              </w:rPr>
              <w:t>100.0</w:t>
            </w:r>
          </w:p>
        </w:tc>
        <w:tc>
          <w:tcPr>
            <w:tcW w:w="849" w:type="dxa"/>
            <w:shd w:val="clear" w:color="auto" w:fill="auto"/>
            <w:vAlign w:val="center"/>
          </w:tcPr>
          <w:p w:rsidR="00CD4761" w:rsidRPr="00AB1652" w:rsidRDefault="00CD4761" w:rsidP="00E463E4">
            <w:pPr>
              <w:jc w:val="center"/>
              <w:rPr>
                <w:rFonts w:cs="Arial"/>
                <w:sz w:val="20"/>
              </w:rPr>
            </w:pPr>
          </w:p>
        </w:tc>
        <w:tc>
          <w:tcPr>
            <w:tcW w:w="757" w:type="dxa"/>
            <w:shd w:val="clear" w:color="auto" w:fill="auto"/>
            <w:vAlign w:val="center"/>
          </w:tcPr>
          <w:p w:rsidR="00CD4761" w:rsidRPr="00AB1652" w:rsidRDefault="00CD4761" w:rsidP="00E463E4">
            <w:pPr>
              <w:jc w:val="center"/>
              <w:rPr>
                <w:rFonts w:cs="Arial"/>
                <w:sz w:val="20"/>
              </w:rPr>
            </w:pPr>
          </w:p>
        </w:tc>
        <w:tc>
          <w:tcPr>
            <w:tcW w:w="849" w:type="dxa"/>
            <w:shd w:val="clear" w:color="auto" w:fill="auto"/>
            <w:vAlign w:val="center"/>
          </w:tcPr>
          <w:p w:rsidR="00CD4761" w:rsidRPr="00AB1652" w:rsidRDefault="00EB7C99" w:rsidP="00E463E4">
            <w:pPr>
              <w:jc w:val="center"/>
              <w:rPr>
                <w:rFonts w:cs="Arial"/>
                <w:sz w:val="20"/>
              </w:rPr>
            </w:pPr>
            <w:r>
              <w:rPr>
                <w:rFonts w:cs="Arial"/>
                <w:sz w:val="20"/>
              </w:rPr>
              <w:t>1</w:t>
            </w:r>
          </w:p>
        </w:tc>
        <w:tc>
          <w:tcPr>
            <w:tcW w:w="731" w:type="dxa"/>
            <w:shd w:val="clear" w:color="auto" w:fill="auto"/>
            <w:vAlign w:val="center"/>
          </w:tcPr>
          <w:p w:rsidR="00CD4761" w:rsidRPr="00AB1652" w:rsidRDefault="00EB7C99" w:rsidP="00E463E4">
            <w:pPr>
              <w:jc w:val="center"/>
              <w:rPr>
                <w:rFonts w:cs="Arial"/>
                <w:sz w:val="20"/>
              </w:rPr>
            </w:pPr>
            <w:r>
              <w:rPr>
                <w:rFonts w:cs="Arial"/>
                <w:sz w:val="20"/>
              </w:rPr>
              <w:t>100.0</w:t>
            </w:r>
          </w:p>
        </w:tc>
        <w:tc>
          <w:tcPr>
            <w:tcW w:w="849" w:type="dxa"/>
            <w:shd w:val="clear" w:color="auto" w:fill="auto"/>
            <w:vAlign w:val="center"/>
          </w:tcPr>
          <w:p w:rsidR="00CD4761" w:rsidRPr="00AB1652" w:rsidRDefault="00CD4761" w:rsidP="00E463E4">
            <w:pPr>
              <w:jc w:val="center"/>
              <w:rPr>
                <w:rFonts w:cs="Arial"/>
                <w:sz w:val="20"/>
              </w:rPr>
            </w:pPr>
          </w:p>
        </w:tc>
        <w:tc>
          <w:tcPr>
            <w:tcW w:w="765" w:type="dxa"/>
            <w:shd w:val="clear" w:color="auto" w:fill="auto"/>
            <w:vAlign w:val="center"/>
          </w:tcPr>
          <w:p w:rsidR="00CD4761" w:rsidRPr="00AB1652" w:rsidRDefault="00CD4761" w:rsidP="00E463E4">
            <w:pPr>
              <w:jc w:val="center"/>
              <w:rPr>
                <w:rFonts w:cs="Arial"/>
                <w:sz w:val="20"/>
              </w:rPr>
            </w:pPr>
          </w:p>
        </w:tc>
        <w:tc>
          <w:tcPr>
            <w:tcW w:w="849" w:type="dxa"/>
            <w:shd w:val="clear" w:color="auto" w:fill="auto"/>
            <w:vAlign w:val="center"/>
          </w:tcPr>
          <w:p w:rsidR="00CD4761" w:rsidRPr="00AB1652" w:rsidRDefault="00CD4761" w:rsidP="00E463E4">
            <w:pPr>
              <w:jc w:val="center"/>
              <w:rPr>
                <w:rFonts w:cs="Arial"/>
                <w:sz w:val="20"/>
              </w:rPr>
            </w:pPr>
          </w:p>
        </w:tc>
        <w:tc>
          <w:tcPr>
            <w:tcW w:w="730" w:type="dxa"/>
            <w:shd w:val="clear" w:color="auto" w:fill="auto"/>
            <w:vAlign w:val="center"/>
          </w:tcPr>
          <w:p w:rsidR="00CD4761" w:rsidRPr="00AB1652" w:rsidRDefault="00CD4761" w:rsidP="00E463E4">
            <w:pPr>
              <w:jc w:val="center"/>
              <w:rPr>
                <w:rFonts w:cs="Arial"/>
                <w:sz w:val="20"/>
              </w:rPr>
            </w:pPr>
          </w:p>
        </w:tc>
        <w:tc>
          <w:tcPr>
            <w:tcW w:w="2723" w:type="dxa"/>
            <w:shd w:val="clear" w:color="auto" w:fill="auto"/>
            <w:vAlign w:val="center"/>
          </w:tcPr>
          <w:p w:rsidR="00CD4761" w:rsidRPr="00AB1652" w:rsidRDefault="00EB7C99" w:rsidP="00E463E4">
            <w:pPr>
              <w:jc w:val="center"/>
              <w:rPr>
                <w:rFonts w:cs="Arial"/>
                <w:sz w:val="20"/>
              </w:rPr>
            </w:pPr>
            <w:r>
              <w:rPr>
                <w:rFonts w:cs="Arial"/>
                <w:sz w:val="20"/>
              </w:rPr>
              <w:t>11.0</w:t>
            </w:r>
          </w:p>
        </w:tc>
      </w:tr>
    </w:tbl>
    <w:p w:rsidR="00CD4761" w:rsidRPr="008A5AEB" w:rsidRDefault="00CD4761" w:rsidP="00F26BD4">
      <w:pPr>
        <w:rPr>
          <w:rFonts w:cs="Arial"/>
          <w:color w:val="000000"/>
          <w:sz w:val="20"/>
        </w:rPr>
      </w:pPr>
    </w:p>
    <w:p w:rsidR="00BA72B6" w:rsidRDefault="00BA72B6">
      <w:pPr>
        <w:rPr>
          <w:rFonts w:cs="Arial"/>
          <w:color w:val="000000"/>
          <w:sz w:val="20"/>
        </w:rPr>
      </w:pPr>
      <w:r>
        <w:rPr>
          <w:rFonts w:cs="Arial"/>
          <w:color w:val="000000"/>
          <w:sz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53"/>
        <w:gridCol w:w="850"/>
        <w:gridCol w:w="759"/>
        <w:gridCol w:w="849"/>
        <w:gridCol w:w="763"/>
        <w:gridCol w:w="849"/>
        <w:gridCol w:w="757"/>
        <w:gridCol w:w="849"/>
        <w:gridCol w:w="731"/>
        <w:gridCol w:w="849"/>
        <w:gridCol w:w="765"/>
        <w:gridCol w:w="849"/>
        <w:gridCol w:w="730"/>
        <w:gridCol w:w="2723"/>
      </w:tblGrid>
      <w:tr w:rsidR="00A36357" w:rsidRPr="00AB1652" w:rsidTr="00377443">
        <w:trPr>
          <w:trHeight w:val="576"/>
        </w:trPr>
        <w:tc>
          <w:tcPr>
            <w:tcW w:w="15176" w:type="dxa"/>
            <w:gridSpan w:val="14"/>
            <w:shd w:val="clear" w:color="auto" w:fill="auto"/>
            <w:vAlign w:val="center"/>
          </w:tcPr>
          <w:p w:rsidR="00A36357" w:rsidRPr="00AB1652" w:rsidRDefault="00A36357" w:rsidP="00377443">
            <w:pPr>
              <w:rPr>
                <w:rFonts w:cs="Arial"/>
                <w:b/>
                <w:sz w:val="20"/>
              </w:rPr>
            </w:pPr>
            <w:r>
              <w:rPr>
                <w:rFonts w:cs="Arial"/>
                <w:b/>
                <w:sz w:val="20"/>
              </w:rPr>
              <w:lastRenderedPageBreak/>
              <w:t>Dundee Health and Social Care Partnership (Social Work Complaints only)</w:t>
            </w:r>
          </w:p>
        </w:tc>
      </w:tr>
      <w:tr w:rsidR="00A36357" w:rsidRPr="00AB1652" w:rsidTr="00377443">
        <w:trPr>
          <w:trHeight w:val="576"/>
        </w:trPr>
        <w:tc>
          <w:tcPr>
            <w:tcW w:w="2853" w:type="dxa"/>
            <w:shd w:val="clear" w:color="auto" w:fill="auto"/>
            <w:vAlign w:val="center"/>
          </w:tcPr>
          <w:p w:rsidR="00A36357" w:rsidRPr="00AB1652" w:rsidRDefault="00A36357" w:rsidP="00377443">
            <w:pPr>
              <w:rPr>
                <w:rFonts w:cs="Arial"/>
                <w:b/>
                <w:sz w:val="20"/>
              </w:rPr>
            </w:pPr>
            <w:r w:rsidRPr="00AB1652">
              <w:rPr>
                <w:rFonts w:cs="Arial"/>
                <w:b/>
                <w:sz w:val="20"/>
              </w:rPr>
              <w:t>Stage</w:t>
            </w:r>
          </w:p>
        </w:tc>
        <w:tc>
          <w:tcPr>
            <w:tcW w:w="1609" w:type="dxa"/>
            <w:gridSpan w:val="2"/>
            <w:shd w:val="clear" w:color="auto" w:fill="auto"/>
            <w:vAlign w:val="center"/>
          </w:tcPr>
          <w:p w:rsidR="00A36357" w:rsidRPr="00AB1652" w:rsidRDefault="00A36357" w:rsidP="00377443">
            <w:pPr>
              <w:rPr>
                <w:rFonts w:cs="Arial"/>
                <w:b/>
                <w:sz w:val="20"/>
              </w:rPr>
            </w:pPr>
            <w:r w:rsidRPr="00AB1652">
              <w:rPr>
                <w:rFonts w:cs="Arial"/>
                <w:b/>
                <w:sz w:val="20"/>
              </w:rPr>
              <w:t>Total</w:t>
            </w:r>
          </w:p>
        </w:tc>
        <w:tc>
          <w:tcPr>
            <w:tcW w:w="1612" w:type="dxa"/>
            <w:gridSpan w:val="2"/>
            <w:shd w:val="clear" w:color="auto" w:fill="auto"/>
            <w:vAlign w:val="center"/>
          </w:tcPr>
          <w:p w:rsidR="00A36357" w:rsidRPr="00AB1652" w:rsidRDefault="00A36357" w:rsidP="00377443">
            <w:pPr>
              <w:rPr>
                <w:rFonts w:cs="Arial"/>
                <w:b/>
                <w:sz w:val="20"/>
              </w:rPr>
            </w:pPr>
            <w:r w:rsidRPr="00AB1652">
              <w:rPr>
                <w:rFonts w:cs="Arial"/>
                <w:b/>
                <w:sz w:val="20"/>
              </w:rPr>
              <w:t>Within Target</w:t>
            </w:r>
          </w:p>
        </w:tc>
        <w:tc>
          <w:tcPr>
            <w:tcW w:w="1606" w:type="dxa"/>
            <w:gridSpan w:val="2"/>
            <w:shd w:val="clear" w:color="auto" w:fill="auto"/>
            <w:vAlign w:val="center"/>
          </w:tcPr>
          <w:p w:rsidR="00A36357" w:rsidRPr="00AB1652" w:rsidRDefault="00A36357" w:rsidP="00377443">
            <w:pPr>
              <w:rPr>
                <w:rFonts w:cs="Arial"/>
                <w:b/>
                <w:sz w:val="20"/>
              </w:rPr>
            </w:pPr>
            <w:r w:rsidRPr="00AB1652">
              <w:rPr>
                <w:rFonts w:cs="Arial"/>
                <w:b/>
                <w:sz w:val="20"/>
              </w:rPr>
              <w:t>With Extension</w:t>
            </w:r>
          </w:p>
        </w:tc>
        <w:tc>
          <w:tcPr>
            <w:tcW w:w="1580" w:type="dxa"/>
            <w:gridSpan w:val="2"/>
            <w:shd w:val="clear" w:color="auto" w:fill="auto"/>
            <w:vAlign w:val="center"/>
          </w:tcPr>
          <w:p w:rsidR="00A36357" w:rsidRPr="00AB1652" w:rsidRDefault="00A36357" w:rsidP="00377443">
            <w:pPr>
              <w:rPr>
                <w:rFonts w:cs="Arial"/>
                <w:b/>
                <w:sz w:val="20"/>
              </w:rPr>
            </w:pPr>
            <w:r w:rsidRPr="00AB1652">
              <w:rPr>
                <w:rFonts w:cs="Arial"/>
                <w:b/>
                <w:sz w:val="20"/>
              </w:rPr>
              <w:t>Upheld</w:t>
            </w:r>
          </w:p>
        </w:tc>
        <w:tc>
          <w:tcPr>
            <w:tcW w:w="1614" w:type="dxa"/>
            <w:gridSpan w:val="2"/>
            <w:shd w:val="clear" w:color="auto" w:fill="auto"/>
            <w:vAlign w:val="center"/>
          </w:tcPr>
          <w:p w:rsidR="00A36357" w:rsidRPr="00AB1652" w:rsidRDefault="00A36357" w:rsidP="00377443">
            <w:pPr>
              <w:rPr>
                <w:rFonts w:cs="Arial"/>
                <w:b/>
                <w:sz w:val="20"/>
              </w:rPr>
            </w:pPr>
            <w:r w:rsidRPr="00AB1652">
              <w:rPr>
                <w:rFonts w:cs="Arial"/>
                <w:b/>
                <w:sz w:val="20"/>
              </w:rPr>
              <w:t>Not upheld</w:t>
            </w:r>
          </w:p>
        </w:tc>
        <w:tc>
          <w:tcPr>
            <w:tcW w:w="1579" w:type="dxa"/>
            <w:gridSpan w:val="2"/>
            <w:shd w:val="clear" w:color="auto" w:fill="auto"/>
            <w:vAlign w:val="center"/>
          </w:tcPr>
          <w:p w:rsidR="00A36357" w:rsidRPr="00AB1652" w:rsidRDefault="00A36357" w:rsidP="00377443">
            <w:pPr>
              <w:rPr>
                <w:rFonts w:cs="Arial"/>
                <w:b/>
                <w:sz w:val="20"/>
              </w:rPr>
            </w:pPr>
            <w:r w:rsidRPr="00AB1652">
              <w:rPr>
                <w:rFonts w:cs="Arial"/>
                <w:b/>
                <w:sz w:val="20"/>
              </w:rPr>
              <w:t xml:space="preserve">Partially upheld </w:t>
            </w:r>
          </w:p>
        </w:tc>
        <w:tc>
          <w:tcPr>
            <w:tcW w:w="2723" w:type="dxa"/>
            <w:shd w:val="clear" w:color="auto" w:fill="auto"/>
            <w:vAlign w:val="center"/>
          </w:tcPr>
          <w:p w:rsidR="00A36357" w:rsidRPr="00AB1652" w:rsidRDefault="00A36357" w:rsidP="00377443">
            <w:pPr>
              <w:rPr>
                <w:rFonts w:cs="Arial"/>
                <w:b/>
                <w:sz w:val="20"/>
              </w:rPr>
            </w:pPr>
            <w:r w:rsidRPr="00AB1652">
              <w:rPr>
                <w:rFonts w:cs="Arial"/>
                <w:b/>
                <w:sz w:val="20"/>
              </w:rPr>
              <w:t>Average days to resolve</w:t>
            </w:r>
          </w:p>
        </w:tc>
      </w:tr>
      <w:tr w:rsidR="00A36357" w:rsidRPr="00AB1652" w:rsidTr="00377443">
        <w:trPr>
          <w:trHeight w:val="576"/>
        </w:trPr>
        <w:tc>
          <w:tcPr>
            <w:tcW w:w="2853" w:type="dxa"/>
            <w:shd w:val="clear" w:color="auto" w:fill="auto"/>
            <w:vAlign w:val="center"/>
          </w:tcPr>
          <w:p w:rsidR="00A36357" w:rsidRPr="00AB1652" w:rsidRDefault="00A36357" w:rsidP="00377443">
            <w:pPr>
              <w:rPr>
                <w:rFonts w:cs="Arial"/>
                <w:b/>
                <w:sz w:val="20"/>
              </w:rPr>
            </w:pPr>
          </w:p>
        </w:tc>
        <w:tc>
          <w:tcPr>
            <w:tcW w:w="850" w:type="dxa"/>
            <w:shd w:val="clear" w:color="auto" w:fill="auto"/>
            <w:vAlign w:val="center"/>
          </w:tcPr>
          <w:p w:rsidR="00A36357" w:rsidRPr="00AB1652" w:rsidRDefault="00A36357" w:rsidP="00377443">
            <w:pPr>
              <w:rPr>
                <w:rFonts w:cs="Arial"/>
                <w:b/>
                <w:sz w:val="20"/>
              </w:rPr>
            </w:pPr>
            <w:r w:rsidRPr="00AB1652">
              <w:rPr>
                <w:rFonts w:cs="Arial"/>
                <w:b/>
                <w:sz w:val="20"/>
              </w:rPr>
              <w:t>Count</w:t>
            </w:r>
          </w:p>
        </w:tc>
        <w:tc>
          <w:tcPr>
            <w:tcW w:w="759" w:type="dxa"/>
            <w:shd w:val="clear" w:color="auto" w:fill="auto"/>
            <w:vAlign w:val="center"/>
          </w:tcPr>
          <w:p w:rsidR="00A36357" w:rsidRPr="00AB1652" w:rsidRDefault="00A36357" w:rsidP="00377443">
            <w:pPr>
              <w:rPr>
                <w:rFonts w:cs="Arial"/>
                <w:b/>
                <w:sz w:val="20"/>
              </w:rPr>
            </w:pPr>
            <w:r w:rsidRPr="00AB1652">
              <w:rPr>
                <w:rFonts w:cs="Arial"/>
                <w:b/>
                <w:sz w:val="20"/>
              </w:rPr>
              <w:t>% age</w:t>
            </w:r>
          </w:p>
        </w:tc>
        <w:tc>
          <w:tcPr>
            <w:tcW w:w="849" w:type="dxa"/>
            <w:shd w:val="clear" w:color="auto" w:fill="auto"/>
            <w:vAlign w:val="center"/>
          </w:tcPr>
          <w:p w:rsidR="00A36357" w:rsidRPr="00AB1652" w:rsidRDefault="00A36357" w:rsidP="00377443">
            <w:pPr>
              <w:rPr>
                <w:rFonts w:cs="Arial"/>
                <w:b/>
                <w:sz w:val="20"/>
              </w:rPr>
            </w:pPr>
            <w:r w:rsidRPr="00AB1652">
              <w:rPr>
                <w:rFonts w:cs="Arial"/>
                <w:b/>
                <w:sz w:val="20"/>
              </w:rPr>
              <w:t>Count</w:t>
            </w:r>
          </w:p>
        </w:tc>
        <w:tc>
          <w:tcPr>
            <w:tcW w:w="763" w:type="dxa"/>
            <w:shd w:val="clear" w:color="auto" w:fill="auto"/>
            <w:vAlign w:val="center"/>
          </w:tcPr>
          <w:p w:rsidR="00A36357" w:rsidRPr="00AB1652" w:rsidRDefault="00A36357" w:rsidP="00377443">
            <w:pPr>
              <w:rPr>
                <w:rFonts w:cs="Arial"/>
                <w:b/>
                <w:sz w:val="20"/>
              </w:rPr>
            </w:pPr>
            <w:r w:rsidRPr="00AB1652">
              <w:rPr>
                <w:rFonts w:cs="Arial"/>
                <w:b/>
                <w:sz w:val="20"/>
              </w:rPr>
              <w:t>% age</w:t>
            </w:r>
          </w:p>
        </w:tc>
        <w:tc>
          <w:tcPr>
            <w:tcW w:w="849" w:type="dxa"/>
            <w:shd w:val="clear" w:color="auto" w:fill="auto"/>
            <w:vAlign w:val="center"/>
          </w:tcPr>
          <w:p w:rsidR="00A36357" w:rsidRPr="00AB1652" w:rsidRDefault="00A36357" w:rsidP="00377443">
            <w:pPr>
              <w:rPr>
                <w:rFonts w:cs="Arial"/>
                <w:b/>
                <w:sz w:val="20"/>
              </w:rPr>
            </w:pPr>
            <w:r w:rsidRPr="00AB1652">
              <w:rPr>
                <w:rFonts w:cs="Arial"/>
                <w:b/>
                <w:sz w:val="20"/>
              </w:rPr>
              <w:t>Count</w:t>
            </w:r>
          </w:p>
        </w:tc>
        <w:tc>
          <w:tcPr>
            <w:tcW w:w="757" w:type="dxa"/>
            <w:shd w:val="clear" w:color="auto" w:fill="auto"/>
            <w:vAlign w:val="center"/>
          </w:tcPr>
          <w:p w:rsidR="00A36357" w:rsidRPr="00AB1652" w:rsidRDefault="00A36357" w:rsidP="00377443">
            <w:pPr>
              <w:rPr>
                <w:rFonts w:cs="Arial"/>
                <w:b/>
                <w:sz w:val="20"/>
              </w:rPr>
            </w:pPr>
            <w:r w:rsidRPr="00AB1652">
              <w:rPr>
                <w:rFonts w:cs="Arial"/>
                <w:b/>
                <w:sz w:val="20"/>
              </w:rPr>
              <w:t>% age</w:t>
            </w:r>
          </w:p>
        </w:tc>
        <w:tc>
          <w:tcPr>
            <w:tcW w:w="849" w:type="dxa"/>
            <w:shd w:val="clear" w:color="auto" w:fill="auto"/>
            <w:vAlign w:val="center"/>
          </w:tcPr>
          <w:p w:rsidR="00A36357" w:rsidRPr="00AB1652" w:rsidRDefault="00A36357" w:rsidP="00377443">
            <w:pPr>
              <w:rPr>
                <w:rFonts w:cs="Arial"/>
                <w:b/>
                <w:sz w:val="20"/>
              </w:rPr>
            </w:pPr>
            <w:r w:rsidRPr="00AB1652">
              <w:rPr>
                <w:rFonts w:cs="Arial"/>
                <w:b/>
                <w:sz w:val="20"/>
              </w:rPr>
              <w:t>Count</w:t>
            </w:r>
          </w:p>
        </w:tc>
        <w:tc>
          <w:tcPr>
            <w:tcW w:w="731" w:type="dxa"/>
            <w:shd w:val="clear" w:color="auto" w:fill="auto"/>
            <w:vAlign w:val="center"/>
          </w:tcPr>
          <w:p w:rsidR="00A36357" w:rsidRPr="00AB1652" w:rsidRDefault="00A36357" w:rsidP="00377443">
            <w:pPr>
              <w:rPr>
                <w:rFonts w:cs="Arial"/>
                <w:b/>
                <w:sz w:val="20"/>
              </w:rPr>
            </w:pPr>
            <w:r w:rsidRPr="00AB1652">
              <w:rPr>
                <w:rFonts w:cs="Arial"/>
                <w:b/>
                <w:sz w:val="20"/>
              </w:rPr>
              <w:t>% age</w:t>
            </w:r>
          </w:p>
        </w:tc>
        <w:tc>
          <w:tcPr>
            <w:tcW w:w="849" w:type="dxa"/>
            <w:shd w:val="clear" w:color="auto" w:fill="auto"/>
            <w:vAlign w:val="center"/>
          </w:tcPr>
          <w:p w:rsidR="00A36357" w:rsidRPr="00AB1652" w:rsidRDefault="00A36357" w:rsidP="00377443">
            <w:pPr>
              <w:rPr>
                <w:rFonts w:cs="Arial"/>
                <w:b/>
                <w:sz w:val="20"/>
              </w:rPr>
            </w:pPr>
            <w:r w:rsidRPr="00AB1652">
              <w:rPr>
                <w:rFonts w:cs="Arial"/>
                <w:b/>
                <w:sz w:val="20"/>
              </w:rPr>
              <w:t>Count</w:t>
            </w:r>
          </w:p>
        </w:tc>
        <w:tc>
          <w:tcPr>
            <w:tcW w:w="765" w:type="dxa"/>
            <w:shd w:val="clear" w:color="auto" w:fill="auto"/>
            <w:vAlign w:val="center"/>
          </w:tcPr>
          <w:p w:rsidR="00A36357" w:rsidRPr="00AB1652" w:rsidRDefault="00A36357" w:rsidP="00377443">
            <w:pPr>
              <w:rPr>
                <w:rFonts w:cs="Arial"/>
                <w:b/>
                <w:sz w:val="20"/>
              </w:rPr>
            </w:pPr>
            <w:r w:rsidRPr="00AB1652">
              <w:rPr>
                <w:rFonts w:cs="Arial"/>
                <w:b/>
                <w:sz w:val="20"/>
              </w:rPr>
              <w:t>% age</w:t>
            </w:r>
          </w:p>
        </w:tc>
        <w:tc>
          <w:tcPr>
            <w:tcW w:w="849" w:type="dxa"/>
            <w:shd w:val="clear" w:color="auto" w:fill="auto"/>
            <w:vAlign w:val="center"/>
          </w:tcPr>
          <w:p w:rsidR="00A36357" w:rsidRPr="00AB1652" w:rsidRDefault="00A36357" w:rsidP="00377443">
            <w:pPr>
              <w:rPr>
                <w:rFonts w:cs="Arial"/>
                <w:b/>
                <w:sz w:val="20"/>
              </w:rPr>
            </w:pPr>
            <w:r w:rsidRPr="00AB1652">
              <w:rPr>
                <w:rFonts w:cs="Arial"/>
                <w:b/>
                <w:sz w:val="20"/>
              </w:rPr>
              <w:t>Count</w:t>
            </w:r>
          </w:p>
        </w:tc>
        <w:tc>
          <w:tcPr>
            <w:tcW w:w="730" w:type="dxa"/>
            <w:shd w:val="clear" w:color="auto" w:fill="auto"/>
            <w:vAlign w:val="center"/>
          </w:tcPr>
          <w:p w:rsidR="00A36357" w:rsidRPr="00AB1652" w:rsidRDefault="00A36357" w:rsidP="00377443">
            <w:pPr>
              <w:rPr>
                <w:rFonts w:cs="Arial"/>
                <w:b/>
                <w:sz w:val="20"/>
              </w:rPr>
            </w:pPr>
            <w:r w:rsidRPr="00AB1652">
              <w:rPr>
                <w:rFonts w:cs="Arial"/>
                <w:b/>
                <w:sz w:val="20"/>
              </w:rPr>
              <w:t>% age</w:t>
            </w:r>
          </w:p>
        </w:tc>
        <w:tc>
          <w:tcPr>
            <w:tcW w:w="2723" w:type="dxa"/>
            <w:shd w:val="clear" w:color="auto" w:fill="auto"/>
            <w:vAlign w:val="center"/>
          </w:tcPr>
          <w:p w:rsidR="00A36357" w:rsidRPr="00AB1652" w:rsidRDefault="00A36357" w:rsidP="00377443">
            <w:pPr>
              <w:rPr>
                <w:rFonts w:cs="Arial"/>
                <w:b/>
                <w:sz w:val="20"/>
              </w:rPr>
            </w:pPr>
          </w:p>
        </w:tc>
      </w:tr>
      <w:tr w:rsidR="00A36357" w:rsidRPr="00AB1652" w:rsidTr="00377443">
        <w:trPr>
          <w:trHeight w:val="576"/>
        </w:trPr>
        <w:tc>
          <w:tcPr>
            <w:tcW w:w="2853" w:type="dxa"/>
            <w:shd w:val="clear" w:color="auto" w:fill="auto"/>
            <w:vAlign w:val="center"/>
          </w:tcPr>
          <w:p w:rsidR="00A36357" w:rsidRPr="00AB1652" w:rsidRDefault="00A36357" w:rsidP="00377443">
            <w:pPr>
              <w:rPr>
                <w:rFonts w:cs="Arial"/>
                <w:sz w:val="20"/>
              </w:rPr>
            </w:pPr>
            <w:r w:rsidRPr="00AB1652">
              <w:rPr>
                <w:rFonts w:cs="Arial"/>
                <w:sz w:val="20"/>
              </w:rPr>
              <w:t>Frontline</w:t>
            </w:r>
          </w:p>
        </w:tc>
        <w:tc>
          <w:tcPr>
            <w:tcW w:w="850" w:type="dxa"/>
            <w:shd w:val="clear" w:color="auto" w:fill="auto"/>
            <w:vAlign w:val="center"/>
          </w:tcPr>
          <w:p w:rsidR="00A36357" w:rsidRPr="00AB1652" w:rsidRDefault="003E0562" w:rsidP="00377443">
            <w:pPr>
              <w:jc w:val="center"/>
              <w:rPr>
                <w:rFonts w:cs="Arial"/>
                <w:sz w:val="20"/>
              </w:rPr>
            </w:pPr>
            <w:r>
              <w:rPr>
                <w:rFonts w:cs="Arial"/>
                <w:sz w:val="20"/>
              </w:rPr>
              <w:t>19</w:t>
            </w:r>
          </w:p>
        </w:tc>
        <w:tc>
          <w:tcPr>
            <w:tcW w:w="759" w:type="dxa"/>
            <w:shd w:val="clear" w:color="auto" w:fill="auto"/>
            <w:vAlign w:val="center"/>
          </w:tcPr>
          <w:p w:rsidR="00A36357" w:rsidRPr="00AB1652" w:rsidRDefault="003E0562" w:rsidP="00377443">
            <w:pPr>
              <w:jc w:val="center"/>
              <w:rPr>
                <w:rFonts w:cs="Arial"/>
                <w:sz w:val="20"/>
              </w:rPr>
            </w:pPr>
            <w:r>
              <w:rPr>
                <w:rFonts w:cs="Arial"/>
                <w:sz w:val="20"/>
              </w:rPr>
              <w:t>59.4</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6</w:t>
            </w:r>
          </w:p>
        </w:tc>
        <w:tc>
          <w:tcPr>
            <w:tcW w:w="763" w:type="dxa"/>
            <w:shd w:val="clear" w:color="auto" w:fill="auto"/>
            <w:vAlign w:val="center"/>
          </w:tcPr>
          <w:p w:rsidR="00A36357" w:rsidRPr="00AB1652" w:rsidRDefault="003E0562" w:rsidP="00377443">
            <w:pPr>
              <w:jc w:val="center"/>
              <w:rPr>
                <w:rFonts w:cs="Arial"/>
                <w:sz w:val="20"/>
              </w:rPr>
            </w:pPr>
            <w:r>
              <w:rPr>
                <w:rFonts w:cs="Arial"/>
                <w:sz w:val="20"/>
              </w:rPr>
              <w:t>31.6</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2</w:t>
            </w:r>
          </w:p>
        </w:tc>
        <w:tc>
          <w:tcPr>
            <w:tcW w:w="757" w:type="dxa"/>
            <w:shd w:val="clear" w:color="auto" w:fill="auto"/>
            <w:vAlign w:val="center"/>
          </w:tcPr>
          <w:p w:rsidR="00A36357" w:rsidRPr="00AB1652" w:rsidRDefault="003E0562" w:rsidP="00377443">
            <w:pPr>
              <w:jc w:val="center"/>
              <w:rPr>
                <w:rFonts w:cs="Arial"/>
                <w:sz w:val="20"/>
              </w:rPr>
            </w:pPr>
            <w:r>
              <w:rPr>
                <w:rFonts w:cs="Arial"/>
                <w:sz w:val="20"/>
              </w:rPr>
              <w:t>10.5</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3</w:t>
            </w:r>
          </w:p>
        </w:tc>
        <w:tc>
          <w:tcPr>
            <w:tcW w:w="731" w:type="dxa"/>
            <w:shd w:val="clear" w:color="auto" w:fill="auto"/>
            <w:vAlign w:val="center"/>
          </w:tcPr>
          <w:p w:rsidR="00A36357" w:rsidRPr="00AB1652" w:rsidRDefault="003E0562" w:rsidP="00377443">
            <w:pPr>
              <w:jc w:val="center"/>
              <w:rPr>
                <w:rFonts w:cs="Arial"/>
                <w:sz w:val="20"/>
              </w:rPr>
            </w:pPr>
            <w:r>
              <w:rPr>
                <w:rFonts w:cs="Arial"/>
                <w:sz w:val="20"/>
              </w:rPr>
              <w:t>15.8</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13</w:t>
            </w:r>
          </w:p>
        </w:tc>
        <w:tc>
          <w:tcPr>
            <w:tcW w:w="765" w:type="dxa"/>
            <w:shd w:val="clear" w:color="auto" w:fill="auto"/>
            <w:vAlign w:val="center"/>
          </w:tcPr>
          <w:p w:rsidR="00A36357" w:rsidRPr="00AB1652" w:rsidRDefault="003E0562" w:rsidP="00377443">
            <w:pPr>
              <w:jc w:val="center"/>
              <w:rPr>
                <w:rFonts w:cs="Arial"/>
                <w:sz w:val="20"/>
              </w:rPr>
            </w:pPr>
            <w:r>
              <w:rPr>
                <w:rFonts w:cs="Arial"/>
                <w:sz w:val="20"/>
              </w:rPr>
              <w:t>68.4</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3</w:t>
            </w:r>
          </w:p>
        </w:tc>
        <w:tc>
          <w:tcPr>
            <w:tcW w:w="730" w:type="dxa"/>
            <w:shd w:val="clear" w:color="auto" w:fill="auto"/>
            <w:vAlign w:val="center"/>
          </w:tcPr>
          <w:p w:rsidR="00A36357" w:rsidRPr="00AB1652" w:rsidRDefault="003E0562" w:rsidP="00377443">
            <w:pPr>
              <w:jc w:val="center"/>
              <w:rPr>
                <w:rFonts w:cs="Arial"/>
                <w:sz w:val="20"/>
              </w:rPr>
            </w:pPr>
            <w:r>
              <w:rPr>
                <w:rFonts w:cs="Arial"/>
                <w:sz w:val="20"/>
              </w:rPr>
              <w:t>15.8</w:t>
            </w:r>
          </w:p>
        </w:tc>
        <w:tc>
          <w:tcPr>
            <w:tcW w:w="2723" w:type="dxa"/>
            <w:shd w:val="clear" w:color="auto" w:fill="auto"/>
            <w:vAlign w:val="center"/>
          </w:tcPr>
          <w:p w:rsidR="00A36357" w:rsidRPr="00AB1652" w:rsidRDefault="003E0562" w:rsidP="00377443">
            <w:pPr>
              <w:jc w:val="center"/>
              <w:rPr>
                <w:rFonts w:cs="Arial"/>
                <w:sz w:val="20"/>
              </w:rPr>
            </w:pPr>
            <w:r>
              <w:rPr>
                <w:rFonts w:cs="Arial"/>
                <w:sz w:val="20"/>
              </w:rPr>
              <w:t>10.8</w:t>
            </w:r>
          </w:p>
        </w:tc>
      </w:tr>
      <w:tr w:rsidR="00A36357" w:rsidRPr="00AB1652" w:rsidTr="00377443">
        <w:trPr>
          <w:trHeight w:val="576"/>
        </w:trPr>
        <w:tc>
          <w:tcPr>
            <w:tcW w:w="2853" w:type="dxa"/>
            <w:shd w:val="clear" w:color="auto" w:fill="auto"/>
            <w:vAlign w:val="center"/>
          </w:tcPr>
          <w:p w:rsidR="00A36357" w:rsidRPr="00AB1652" w:rsidRDefault="00A36357" w:rsidP="00377443">
            <w:pPr>
              <w:rPr>
                <w:rFonts w:cs="Arial"/>
                <w:sz w:val="20"/>
              </w:rPr>
            </w:pPr>
            <w:r w:rsidRPr="00AB1652">
              <w:rPr>
                <w:rFonts w:cs="Arial"/>
                <w:sz w:val="20"/>
              </w:rPr>
              <w:t>Opened at Investigation</w:t>
            </w:r>
          </w:p>
        </w:tc>
        <w:tc>
          <w:tcPr>
            <w:tcW w:w="850" w:type="dxa"/>
            <w:shd w:val="clear" w:color="auto" w:fill="auto"/>
            <w:vAlign w:val="center"/>
          </w:tcPr>
          <w:p w:rsidR="00A36357" w:rsidRPr="00AB1652" w:rsidRDefault="003E0562" w:rsidP="00377443">
            <w:pPr>
              <w:jc w:val="center"/>
              <w:rPr>
                <w:rFonts w:cs="Arial"/>
                <w:sz w:val="20"/>
              </w:rPr>
            </w:pPr>
            <w:r>
              <w:rPr>
                <w:rFonts w:cs="Arial"/>
                <w:sz w:val="20"/>
              </w:rPr>
              <w:t>12</w:t>
            </w:r>
          </w:p>
        </w:tc>
        <w:tc>
          <w:tcPr>
            <w:tcW w:w="759" w:type="dxa"/>
            <w:shd w:val="clear" w:color="auto" w:fill="auto"/>
            <w:vAlign w:val="center"/>
          </w:tcPr>
          <w:p w:rsidR="00A36357" w:rsidRPr="00AB1652" w:rsidRDefault="003E0562" w:rsidP="00377443">
            <w:pPr>
              <w:jc w:val="center"/>
              <w:rPr>
                <w:rFonts w:cs="Arial"/>
                <w:sz w:val="20"/>
              </w:rPr>
            </w:pPr>
            <w:r>
              <w:rPr>
                <w:rFonts w:cs="Arial"/>
                <w:sz w:val="20"/>
              </w:rPr>
              <w:t>37.5</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4</w:t>
            </w:r>
          </w:p>
        </w:tc>
        <w:tc>
          <w:tcPr>
            <w:tcW w:w="763" w:type="dxa"/>
            <w:shd w:val="clear" w:color="auto" w:fill="auto"/>
            <w:vAlign w:val="center"/>
          </w:tcPr>
          <w:p w:rsidR="00A36357" w:rsidRPr="00AB1652" w:rsidRDefault="003E0562" w:rsidP="00377443">
            <w:pPr>
              <w:jc w:val="center"/>
              <w:rPr>
                <w:rFonts w:cs="Arial"/>
                <w:sz w:val="20"/>
              </w:rPr>
            </w:pPr>
            <w:r>
              <w:rPr>
                <w:rFonts w:cs="Arial"/>
                <w:sz w:val="20"/>
              </w:rPr>
              <w:t>33.3</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6</w:t>
            </w:r>
          </w:p>
        </w:tc>
        <w:tc>
          <w:tcPr>
            <w:tcW w:w="757" w:type="dxa"/>
            <w:shd w:val="clear" w:color="auto" w:fill="auto"/>
            <w:vAlign w:val="center"/>
          </w:tcPr>
          <w:p w:rsidR="00A36357" w:rsidRPr="00AB1652" w:rsidRDefault="003E0562" w:rsidP="00377443">
            <w:pPr>
              <w:jc w:val="center"/>
              <w:rPr>
                <w:rFonts w:cs="Arial"/>
                <w:sz w:val="20"/>
              </w:rPr>
            </w:pPr>
            <w:r>
              <w:rPr>
                <w:rFonts w:cs="Arial"/>
                <w:sz w:val="20"/>
              </w:rPr>
              <w:t>50.0</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2</w:t>
            </w:r>
          </w:p>
        </w:tc>
        <w:tc>
          <w:tcPr>
            <w:tcW w:w="731" w:type="dxa"/>
            <w:shd w:val="clear" w:color="auto" w:fill="auto"/>
            <w:vAlign w:val="center"/>
          </w:tcPr>
          <w:p w:rsidR="00A36357" w:rsidRPr="00AB1652" w:rsidRDefault="003E0562" w:rsidP="00377443">
            <w:pPr>
              <w:jc w:val="center"/>
              <w:rPr>
                <w:rFonts w:cs="Arial"/>
                <w:sz w:val="20"/>
              </w:rPr>
            </w:pPr>
            <w:r>
              <w:rPr>
                <w:rFonts w:cs="Arial"/>
                <w:sz w:val="20"/>
              </w:rPr>
              <w:t>16.7</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7</w:t>
            </w:r>
          </w:p>
        </w:tc>
        <w:tc>
          <w:tcPr>
            <w:tcW w:w="765" w:type="dxa"/>
            <w:shd w:val="clear" w:color="auto" w:fill="auto"/>
            <w:vAlign w:val="center"/>
          </w:tcPr>
          <w:p w:rsidR="00A36357" w:rsidRPr="00AB1652" w:rsidRDefault="003E0562" w:rsidP="00377443">
            <w:pPr>
              <w:jc w:val="center"/>
              <w:rPr>
                <w:rFonts w:cs="Arial"/>
                <w:sz w:val="20"/>
              </w:rPr>
            </w:pPr>
            <w:r>
              <w:rPr>
                <w:rFonts w:cs="Arial"/>
                <w:sz w:val="20"/>
              </w:rPr>
              <w:t>58.3</w:t>
            </w:r>
          </w:p>
        </w:tc>
        <w:tc>
          <w:tcPr>
            <w:tcW w:w="849" w:type="dxa"/>
            <w:shd w:val="clear" w:color="auto" w:fill="auto"/>
            <w:vAlign w:val="center"/>
          </w:tcPr>
          <w:p w:rsidR="00A36357" w:rsidRPr="00AB1652" w:rsidRDefault="003E0562" w:rsidP="00377443">
            <w:pPr>
              <w:jc w:val="center"/>
              <w:rPr>
                <w:rFonts w:cs="Arial"/>
                <w:sz w:val="20"/>
              </w:rPr>
            </w:pPr>
            <w:r>
              <w:rPr>
                <w:rFonts w:cs="Arial"/>
                <w:sz w:val="20"/>
              </w:rPr>
              <w:t>3</w:t>
            </w:r>
          </w:p>
        </w:tc>
        <w:tc>
          <w:tcPr>
            <w:tcW w:w="730" w:type="dxa"/>
            <w:shd w:val="clear" w:color="auto" w:fill="auto"/>
            <w:vAlign w:val="center"/>
          </w:tcPr>
          <w:p w:rsidR="00A36357" w:rsidRPr="00AB1652" w:rsidRDefault="003E0562" w:rsidP="00377443">
            <w:pPr>
              <w:jc w:val="center"/>
              <w:rPr>
                <w:rFonts w:cs="Arial"/>
                <w:sz w:val="20"/>
              </w:rPr>
            </w:pPr>
            <w:r>
              <w:rPr>
                <w:rFonts w:cs="Arial"/>
                <w:sz w:val="20"/>
              </w:rPr>
              <w:t>25.0</w:t>
            </w:r>
          </w:p>
        </w:tc>
        <w:tc>
          <w:tcPr>
            <w:tcW w:w="2723" w:type="dxa"/>
            <w:shd w:val="clear" w:color="auto" w:fill="auto"/>
            <w:vAlign w:val="center"/>
          </w:tcPr>
          <w:p w:rsidR="00A36357" w:rsidRPr="00AB1652" w:rsidRDefault="003E0562" w:rsidP="00377443">
            <w:pPr>
              <w:jc w:val="center"/>
              <w:rPr>
                <w:rFonts w:cs="Arial"/>
                <w:sz w:val="20"/>
              </w:rPr>
            </w:pPr>
            <w:r>
              <w:rPr>
                <w:rFonts w:cs="Arial"/>
                <w:sz w:val="20"/>
              </w:rPr>
              <w:t>26.3</w:t>
            </w:r>
          </w:p>
        </w:tc>
      </w:tr>
      <w:tr w:rsidR="00A36357" w:rsidRPr="00AB1652" w:rsidTr="00377443">
        <w:trPr>
          <w:trHeight w:val="576"/>
        </w:trPr>
        <w:tc>
          <w:tcPr>
            <w:tcW w:w="2853" w:type="dxa"/>
            <w:shd w:val="clear" w:color="auto" w:fill="auto"/>
            <w:vAlign w:val="center"/>
          </w:tcPr>
          <w:p w:rsidR="00A36357" w:rsidRPr="00AB1652" w:rsidRDefault="00A36357" w:rsidP="00377443">
            <w:pPr>
              <w:rPr>
                <w:rFonts w:cs="Arial"/>
                <w:sz w:val="20"/>
              </w:rPr>
            </w:pPr>
            <w:r>
              <w:rPr>
                <w:rFonts w:cs="Arial"/>
                <w:sz w:val="20"/>
              </w:rPr>
              <w:t>Escalated to Investigation</w:t>
            </w:r>
          </w:p>
        </w:tc>
        <w:tc>
          <w:tcPr>
            <w:tcW w:w="850" w:type="dxa"/>
            <w:shd w:val="clear" w:color="auto" w:fill="auto"/>
            <w:vAlign w:val="center"/>
          </w:tcPr>
          <w:p w:rsidR="00A36357" w:rsidRPr="00AB1652" w:rsidRDefault="003E0562" w:rsidP="00377443">
            <w:pPr>
              <w:jc w:val="center"/>
              <w:rPr>
                <w:rFonts w:cs="Arial"/>
                <w:sz w:val="20"/>
              </w:rPr>
            </w:pPr>
            <w:r>
              <w:rPr>
                <w:rFonts w:cs="Arial"/>
                <w:sz w:val="20"/>
              </w:rPr>
              <w:t>1</w:t>
            </w:r>
          </w:p>
        </w:tc>
        <w:tc>
          <w:tcPr>
            <w:tcW w:w="759" w:type="dxa"/>
            <w:shd w:val="clear" w:color="auto" w:fill="auto"/>
            <w:vAlign w:val="center"/>
          </w:tcPr>
          <w:p w:rsidR="00A36357" w:rsidRPr="00AB1652" w:rsidRDefault="003E0562" w:rsidP="00377443">
            <w:pPr>
              <w:jc w:val="center"/>
              <w:rPr>
                <w:rFonts w:cs="Arial"/>
                <w:sz w:val="20"/>
              </w:rPr>
            </w:pPr>
            <w:r>
              <w:rPr>
                <w:rFonts w:cs="Arial"/>
                <w:sz w:val="20"/>
              </w:rPr>
              <w:t>3.1</w:t>
            </w:r>
          </w:p>
        </w:tc>
        <w:tc>
          <w:tcPr>
            <w:tcW w:w="849" w:type="dxa"/>
            <w:shd w:val="clear" w:color="auto" w:fill="auto"/>
            <w:vAlign w:val="center"/>
          </w:tcPr>
          <w:p w:rsidR="00A36357" w:rsidRPr="00AB1652" w:rsidRDefault="00A36357" w:rsidP="00377443">
            <w:pPr>
              <w:jc w:val="center"/>
              <w:rPr>
                <w:rFonts w:cs="Arial"/>
                <w:sz w:val="20"/>
              </w:rPr>
            </w:pPr>
          </w:p>
        </w:tc>
        <w:tc>
          <w:tcPr>
            <w:tcW w:w="763" w:type="dxa"/>
            <w:shd w:val="clear" w:color="auto" w:fill="auto"/>
            <w:vAlign w:val="center"/>
          </w:tcPr>
          <w:p w:rsidR="00A36357" w:rsidRPr="00AB1652" w:rsidRDefault="00A36357" w:rsidP="00377443">
            <w:pPr>
              <w:jc w:val="center"/>
              <w:rPr>
                <w:rFonts w:cs="Arial"/>
                <w:sz w:val="20"/>
              </w:rPr>
            </w:pPr>
          </w:p>
        </w:tc>
        <w:tc>
          <w:tcPr>
            <w:tcW w:w="849" w:type="dxa"/>
            <w:shd w:val="clear" w:color="auto" w:fill="auto"/>
            <w:vAlign w:val="center"/>
          </w:tcPr>
          <w:p w:rsidR="00A36357" w:rsidRPr="00AB1652" w:rsidRDefault="003E0562" w:rsidP="00377443">
            <w:pPr>
              <w:jc w:val="center"/>
              <w:rPr>
                <w:rFonts w:cs="Arial"/>
                <w:sz w:val="20"/>
              </w:rPr>
            </w:pPr>
            <w:r>
              <w:rPr>
                <w:rFonts w:cs="Arial"/>
                <w:sz w:val="20"/>
              </w:rPr>
              <w:t>1</w:t>
            </w:r>
          </w:p>
        </w:tc>
        <w:tc>
          <w:tcPr>
            <w:tcW w:w="757" w:type="dxa"/>
            <w:shd w:val="clear" w:color="auto" w:fill="auto"/>
            <w:vAlign w:val="center"/>
          </w:tcPr>
          <w:p w:rsidR="00A36357" w:rsidRPr="00AB1652" w:rsidRDefault="003E0562" w:rsidP="00377443">
            <w:pPr>
              <w:jc w:val="center"/>
              <w:rPr>
                <w:rFonts w:cs="Arial"/>
                <w:sz w:val="20"/>
              </w:rPr>
            </w:pPr>
            <w:r>
              <w:rPr>
                <w:rFonts w:cs="Arial"/>
                <w:sz w:val="20"/>
              </w:rPr>
              <w:t>100.0</w:t>
            </w:r>
          </w:p>
        </w:tc>
        <w:tc>
          <w:tcPr>
            <w:tcW w:w="849" w:type="dxa"/>
            <w:shd w:val="clear" w:color="auto" w:fill="auto"/>
            <w:vAlign w:val="center"/>
          </w:tcPr>
          <w:p w:rsidR="00A36357" w:rsidRPr="00AB1652" w:rsidRDefault="00A36357" w:rsidP="00377443">
            <w:pPr>
              <w:jc w:val="center"/>
              <w:rPr>
                <w:rFonts w:cs="Arial"/>
                <w:sz w:val="20"/>
              </w:rPr>
            </w:pPr>
          </w:p>
        </w:tc>
        <w:tc>
          <w:tcPr>
            <w:tcW w:w="731" w:type="dxa"/>
            <w:shd w:val="clear" w:color="auto" w:fill="auto"/>
            <w:vAlign w:val="center"/>
          </w:tcPr>
          <w:p w:rsidR="00A36357" w:rsidRPr="00AB1652" w:rsidRDefault="00A36357" w:rsidP="00377443">
            <w:pPr>
              <w:jc w:val="center"/>
              <w:rPr>
                <w:rFonts w:cs="Arial"/>
                <w:sz w:val="20"/>
              </w:rPr>
            </w:pPr>
          </w:p>
        </w:tc>
        <w:tc>
          <w:tcPr>
            <w:tcW w:w="849" w:type="dxa"/>
            <w:shd w:val="clear" w:color="auto" w:fill="auto"/>
            <w:vAlign w:val="center"/>
          </w:tcPr>
          <w:p w:rsidR="00A36357" w:rsidRPr="00AB1652" w:rsidRDefault="003E0562" w:rsidP="00377443">
            <w:pPr>
              <w:jc w:val="center"/>
              <w:rPr>
                <w:rFonts w:cs="Arial"/>
                <w:sz w:val="20"/>
              </w:rPr>
            </w:pPr>
            <w:r>
              <w:rPr>
                <w:rFonts w:cs="Arial"/>
                <w:sz w:val="20"/>
              </w:rPr>
              <w:t>1</w:t>
            </w:r>
          </w:p>
        </w:tc>
        <w:tc>
          <w:tcPr>
            <w:tcW w:w="765" w:type="dxa"/>
            <w:shd w:val="clear" w:color="auto" w:fill="auto"/>
            <w:vAlign w:val="center"/>
          </w:tcPr>
          <w:p w:rsidR="00A36357" w:rsidRPr="00AB1652" w:rsidRDefault="003E0562" w:rsidP="00377443">
            <w:pPr>
              <w:jc w:val="center"/>
              <w:rPr>
                <w:rFonts w:cs="Arial"/>
                <w:sz w:val="20"/>
              </w:rPr>
            </w:pPr>
            <w:r>
              <w:rPr>
                <w:rFonts w:cs="Arial"/>
                <w:sz w:val="20"/>
              </w:rPr>
              <w:t>100.0</w:t>
            </w:r>
          </w:p>
        </w:tc>
        <w:tc>
          <w:tcPr>
            <w:tcW w:w="849" w:type="dxa"/>
            <w:shd w:val="clear" w:color="auto" w:fill="auto"/>
            <w:vAlign w:val="center"/>
          </w:tcPr>
          <w:p w:rsidR="00A36357" w:rsidRPr="00AB1652" w:rsidRDefault="00A36357" w:rsidP="00377443">
            <w:pPr>
              <w:jc w:val="center"/>
              <w:rPr>
                <w:rFonts w:cs="Arial"/>
                <w:sz w:val="20"/>
              </w:rPr>
            </w:pPr>
          </w:p>
        </w:tc>
        <w:tc>
          <w:tcPr>
            <w:tcW w:w="730" w:type="dxa"/>
            <w:shd w:val="clear" w:color="auto" w:fill="auto"/>
            <w:vAlign w:val="center"/>
          </w:tcPr>
          <w:p w:rsidR="00A36357" w:rsidRPr="00AB1652" w:rsidRDefault="00A36357" w:rsidP="00377443">
            <w:pPr>
              <w:jc w:val="center"/>
              <w:rPr>
                <w:rFonts w:cs="Arial"/>
                <w:sz w:val="20"/>
              </w:rPr>
            </w:pPr>
          </w:p>
        </w:tc>
        <w:tc>
          <w:tcPr>
            <w:tcW w:w="2723" w:type="dxa"/>
            <w:shd w:val="clear" w:color="auto" w:fill="auto"/>
            <w:vAlign w:val="center"/>
          </w:tcPr>
          <w:p w:rsidR="00A36357" w:rsidRPr="00AB1652" w:rsidRDefault="003E0562" w:rsidP="00377443">
            <w:pPr>
              <w:jc w:val="center"/>
              <w:rPr>
                <w:rFonts w:cs="Arial"/>
                <w:sz w:val="20"/>
              </w:rPr>
            </w:pPr>
            <w:r>
              <w:rPr>
                <w:rFonts w:cs="Arial"/>
                <w:sz w:val="20"/>
              </w:rPr>
              <w:t>21.1</w:t>
            </w:r>
          </w:p>
        </w:tc>
      </w:tr>
    </w:tbl>
    <w:p w:rsidR="00A36357" w:rsidRPr="008A5AEB" w:rsidRDefault="00A36357" w:rsidP="00F26BD4">
      <w:pPr>
        <w:rPr>
          <w:rFonts w:cs="Arial"/>
          <w:color w:val="000000"/>
          <w:sz w:val="20"/>
        </w:rPr>
      </w:pPr>
    </w:p>
    <w:p w:rsidR="00A36357" w:rsidRDefault="00A36357">
      <w:pPr>
        <w:rPr>
          <w:rFonts w:cs="Arial"/>
          <w:color w:val="000000"/>
          <w:sz w:val="20"/>
        </w:rPr>
      </w:pPr>
    </w:p>
    <w:p w:rsidR="00BA72B6" w:rsidRDefault="00BA72B6">
      <w:pPr>
        <w:rPr>
          <w:rFonts w:cs="Arial"/>
          <w:color w:val="000000"/>
          <w:sz w:val="20"/>
        </w:rPr>
      </w:pPr>
    </w:p>
    <w:p w:rsidR="00AE73D0" w:rsidRPr="008A5AEB" w:rsidRDefault="00AE73D0" w:rsidP="00F26BD4">
      <w:pPr>
        <w:rPr>
          <w:rFonts w:cs="Arial"/>
          <w:color w:val="000000"/>
          <w:sz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7"/>
        <w:gridCol w:w="851"/>
        <w:gridCol w:w="741"/>
        <w:gridCol w:w="849"/>
        <w:gridCol w:w="738"/>
        <w:gridCol w:w="849"/>
        <w:gridCol w:w="742"/>
        <w:gridCol w:w="849"/>
        <w:gridCol w:w="736"/>
        <w:gridCol w:w="849"/>
        <w:gridCol w:w="735"/>
        <w:gridCol w:w="849"/>
        <w:gridCol w:w="736"/>
        <w:gridCol w:w="2765"/>
      </w:tblGrid>
      <w:tr w:rsidR="00F26BD4" w:rsidRPr="00AB1652" w:rsidTr="00E463E4">
        <w:trPr>
          <w:trHeight w:val="576"/>
        </w:trPr>
        <w:tc>
          <w:tcPr>
            <w:tcW w:w="15398" w:type="dxa"/>
            <w:gridSpan w:val="14"/>
            <w:shd w:val="clear" w:color="auto" w:fill="auto"/>
            <w:vAlign w:val="center"/>
          </w:tcPr>
          <w:p w:rsidR="00F26BD4" w:rsidRPr="00AB1652" w:rsidRDefault="00F26BD4" w:rsidP="00E463E4">
            <w:pPr>
              <w:rPr>
                <w:rFonts w:cs="Arial"/>
                <w:b/>
                <w:sz w:val="20"/>
              </w:rPr>
            </w:pPr>
            <w:r w:rsidRPr="00AB1652">
              <w:rPr>
                <w:rFonts w:cs="Arial"/>
                <w:b/>
                <w:sz w:val="20"/>
              </w:rPr>
              <w:t>Totals</w:t>
            </w:r>
          </w:p>
        </w:tc>
      </w:tr>
      <w:tr w:rsidR="00F26BD4" w:rsidRPr="00AB1652" w:rsidTr="00E463E4">
        <w:trPr>
          <w:trHeight w:val="576"/>
        </w:trPr>
        <w:tc>
          <w:tcPr>
            <w:tcW w:w="2964" w:type="dxa"/>
            <w:shd w:val="clear" w:color="auto" w:fill="auto"/>
            <w:vAlign w:val="center"/>
          </w:tcPr>
          <w:p w:rsidR="00F26BD4" w:rsidRPr="00AB1652" w:rsidRDefault="00F26BD4" w:rsidP="00E463E4">
            <w:pPr>
              <w:rPr>
                <w:rFonts w:cs="Arial"/>
                <w:b/>
                <w:sz w:val="20"/>
              </w:rPr>
            </w:pPr>
            <w:r w:rsidRPr="00AB1652">
              <w:rPr>
                <w:rFonts w:cs="Arial"/>
                <w:b/>
                <w:sz w:val="20"/>
              </w:rPr>
              <w:t>Stage</w:t>
            </w:r>
          </w:p>
        </w:tc>
        <w:tc>
          <w:tcPr>
            <w:tcW w:w="1600" w:type="dxa"/>
            <w:gridSpan w:val="2"/>
            <w:shd w:val="clear" w:color="auto" w:fill="auto"/>
            <w:vAlign w:val="center"/>
          </w:tcPr>
          <w:p w:rsidR="00F26BD4" w:rsidRPr="00AB1652" w:rsidRDefault="00F26BD4" w:rsidP="00E463E4">
            <w:pPr>
              <w:rPr>
                <w:rFonts w:cs="Arial"/>
                <w:b/>
                <w:sz w:val="20"/>
              </w:rPr>
            </w:pPr>
            <w:r w:rsidRPr="00AB1652">
              <w:rPr>
                <w:rFonts w:cs="Arial"/>
                <w:b/>
                <w:sz w:val="20"/>
              </w:rPr>
              <w:t>Total</w:t>
            </w:r>
          </w:p>
        </w:tc>
        <w:tc>
          <w:tcPr>
            <w:tcW w:w="1597" w:type="dxa"/>
            <w:gridSpan w:val="2"/>
            <w:shd w:val="clear" w:color="auto" w:fill="auto"/>
            <w:vAlign w:val="center"/>
          </w:tcPr>
          <w:p w:rsidR="00F26BD4" w:rsidRPr="00AB1652" w:rsidRDefault="00F26BD4" w:rsidP="00E463E4">
            <w:pPr>
              <w:rPr>
                <w:rFonts w:cs="Arial"/>
                <w:b/>
                <w:sz w:val="20"/>
              </w:rPr>
            </w:pPr>
            <w:r w:rsidRPr="00AB1652">
              <w:rPr>
                <w:rFonts w:cs="Arial"/>
                <w:b/>
                <w:sz w:val="20"/>
              </w:rPr>
              <w:t>Within Target</w:t>
            </w:r>
          </w:p>
        </w:tc>
        <w:tc>
          <w:tcPr>
            <w:tcW w:w="1601" w:type="dxa"/>
            <w:gridSpan w:val="2"/>
            <w:shd w:val="clear" w:color="auto" w:fill="auto"/>
            <w:vAlign w:val="center"/>
          </w:tcPr>
          <w:p w:rsidR="00F26BD4" w:rsidRPr="00AB1652" w:rsidRDefault="00F26BD4" w:rsidP="00E463E4">
            <w:pPr>
              <w:rPr>
                <w:rFonts w:cs="Arial"/>
                <w:b/>
                <w:sz w:val="20"/>
              </w:rPr>
            </w:pPr>
            <w:r w:rsidRPr="00AB1652">
              <w:rPr>
                <w:rFonts w:cs="Arial"/>
                <w:b/>
                <w:sz w:val="20"/>
              </w:rPr>
              <w:t>With Extension</w:t>
            </w:r>
          </w:p>
        </w:tc>
        <w:tc>
          <w:tcPr>
            <w:tcW w:w="1595" w:type="dxa"/>
            <w:gridSpan w:val="2"/>
            <w:shd w:val="clear" w:color="auto" w:fill="auto"/>
            <w:vAlign w:val="center"/>
          </w:tcPr>
          <w:p w:rsidR="00F26BD4" w:rsidRPr="00AB1652" w:rsidRDefault="00F26BD4" w:rsidP="00E463E4">
            <w:pPr>
              <w:rPr>
                <w:rFonts w:cs="Arial"/>
                <w:b/>
                <w:sz w:val="20"/>
              </w:rPr>
            </w:pPr>
            <w:r w:rsidRPr="00AB1652">
              <w:rPr>
                <w:rFonts w:cs="Arial"/>
                <w:b/>
                <w:sz w:val="20"/>
              </w:rPr>
              <w:t>Upheld</w:t>
            </w:r>
          </w:p>
        </w:tc>
        <w:tc>
          <w:tcPr>
            <w:tcW w:w="1593" w:type="dxa"/>
            <w:gridSpan w:val="2"/>
            <w:shd w:val="clear" w:color="auto" w:fill="auto"/>
            <w:vAlign w:val="center"/>
          </w:tcPr>
          <w:p w:rsidR="00F26BD4" w:rsidRPr="00AB1652" w:rsidRDefault="00F26BD4" w:rsidP="00E463E4">
            <w:pPr>
              <w:rPr>
                <w:rFonts w:cs="Arial"/>
                <w:b/>
                <w:sz w:val="20"/>
              </w:rPr>
            </w:pPr>
            <w:r w:rsidRPr="00AB1652">
              <w:rPr>
                <w:rFonts w:cs="Arial"/>
                <w:b/>
                <w:sz w:val="20"/>
              </w:rPr>
              <w:t>Not upheld</w:t>
            </w:r>
          </w:p>
        </w:tc>
        <w:tc>
          <w:tcPr>
            <w:tcW w:w="1595" w:type="dxa"/>
            <w:gridSpan w:val="2"/>
            <w:shd w:val="clear" w:color="auto" w:fill="auto"/>
            <w:vAlign w:val="center"/>
          </w:tcPr>
          <w:p w:rsidR="00F26BD4" w:rsidRPr="00AB1652" w:rsidRDefault="00F26BD4" w:rsidP="00E463E4">
            <w:pPr>
              <w:rPr>
                <w:rFonts w:cs="Arial"/>
                <w:b/>
                <w:sz w:val="20"/>
              </w:rPr>
            </w:pPr>
            <w:r w:rsidRPr="00AB1652">
              <w:rPr>
                <w:rFonts w:cs="Arial"/>
                <w:b/>
                <w:sz w:val="20"/>
              </w:rPr>
              <w:t xml:space="preserve">Partially upheld </w:t>
            </w:r>
          </w:p>
        </w:tc>
        <w:tc>
          <w:tcPr>
            <w:tcW w:w="2853" w:type="dxa"/>
            <w:shd w:val="clear" w:color="auto" w:fill="auto"/>
            <w:vAlign w:val="center"/>
          </w:tcPr>
          <w:p w:rsidR="00F26BD4" w:rsidRPr="00AB1652" w:rsidRDefault="00F26BD4" w:rsidP="00E463E4">
            <w:pPr>
              <w:rPr>
                <w:rFonts w:cs="Arial"/>
                <w:b/>
                <w:sz w:val="20"/>
              </w:rPr>
            </w:pPr>
            <w:r w:rsidRPr="00AB1652">
              <w:rPr>
                <w:rFonts w:cs="Arial"/>
                <w:b/>
                <w:sz w:val="20"/>
              </w:rPr>
              <w:t>Average days to resolve</w:t>
            </w:r>
          </w:p>
        </w:tc>
      </w:tr>
      <w:tr w:rsidR="00F26BD4" w:rsidRPr="00AB1652" w:rsidTr="00E463E4">
        <w:trPr>
          <w:trHeight w:val="576"/>
        </w:trPr>
        <w:tc>
          <w:tcPr>
            <w:tcW w:w="2964" w:type="dxa"/>
            <w:shd w:val="clear" w:color="auto" w:fill="auto"/>
            <w:vAlign w:val="center"/>
          </w:tcPr>
          <w:p w:rsidR="00F26BD4" w:rsidRPr="00AB1652" w:rsidRDefault="00F26BD4" w:rsidP="00E463E4">
            <w:pPr>
              <w:rPr>
                <w:rFonts w:cs="Arial"/>
                <w:b/>
                <w:sz w:val="20"/>
              </w:rPr>
            </w:pPr>
          </w:p>
        </w:tc>
        <w:tc>
          <w:tcPr>
            <w:tcW w:w="853"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7"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5"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9"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3"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1"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852" w:type="dxa"/>
            <w:shd w:val="clear" w:color="auto" w:fill="auto"/>
            <w:vAlign w:val="center"/>
          </w:tcPr>
          <w:p w:rsidR="00F26BD4" w:rsidRPr="00AB1652" w:rsidRDefault="00F26BD4" w:rsidP="00E463E4">
            <w:pPr>
              <w:rPr>
                <w:rFonts w:cs="Arial"/>
                <w:b/>
                <w:sz w:val="20"/>
              </w:rPr>
            </w:pPr>
            <w:r w:rsidRPr="00AB1652">
              <w:rPr>
                <w:rFonts w:cs="Arial"/>
                <w:b/>
                <w:sz w:val="20"/>
              </w:rPr>
              <w:t>Count</w:t>
            </w:r>
          </w:p>
        </w:tc>
        <w:tc>
          <w:tcPr>
            <w:tcW w:w="743" w:type="dxa"/>
            <w:shd w:val="clear" w:color="auto" w:fill="auto"/>
            <w:vAlign w:val="center"/>
          </w:tcPr>
          <w:p w:rsidR="00F26BD4" w:rsidRPr="00AB1652" w:rsidRDefault="00F26BD4" w:rsidP="00E463E4">
            <w:pPr>
              <w:rPr>
                <w:rFonts w:cs="Arial"/>
                <w:b/>
                <w:sz w:val="20"/>
              </w:rPr>
            </w:pPr>
            <w:r w:rsidRPr="00AB1652">
              <w:rPr>
                <w:rFonts w:cs="Arial"/>
                <w:b/>
                <w:sz w:val="20"/>
              </w:rPr>
              <w:t>% age</w:t>
            </w:r>
          </w:p>
        </w:tc>
        <w:tc>
          <w:tcPr>
            <w:tcW w:w="2853" w:type="dxa"/>
            <w:shd w:val="clear" w:color="auto" w:fill="auto"/>
            <w:vAlign w:val="center"/>
          </w:tcPr>
          <w:p w:rsidR="00F26BD4" w:rsidRPr="00AB1652" w:rsidRDefault="00F26BD4" w:rsidP="00E463E4">
            <w:pPr>
              <w:rPr>
                <w:rFonts w:cs="Arial"/>
                <w:b/>
                <w:sz w:val="20"/>
              </w:rPr>
            </w:pPr>
          </w:p>
        </w:tc>
      </w:tr>
      <w:tr w:rsidR="00F26BD4" w:rsidRPr="00AB1652" w:rsidTr="00E463E4">
        <w:trPr>
          <w:trHeight w:val="576"/>
        </w:trPr>
        <w:tc>
          <w:tcPr>
            <w:tcW w:w="2964" w:type="dxa"/>
            <w:shd w:val="clear" w:color="auto" w:fill="auto"/>
            <w:vAlign w:val="center"/>
          </w:tcPr>
          <w:p w:rsidR="00F26BD4" w:rsidRPr="00AB1652" w:rsidRDefault="00F26BD4" w:rsidP="00E463E4">
            <w:pPr>
              <w:rPr>
                <w:rFonts w:cs="Arial"/>
                <w:sz w:val="20"/>
              </w:rPr>
            </w:pPr>
            <w:r w:rsidRPr="00AB1652">
              <w:rPr>
                <w:rFonts w:cs="Arial"/>
                <w:sz w:val="20"/>
              </w:rPr>
              <w:t>Frontline</w:t>
            </w:r>
          </w:p>
        </w:tc>
        <w:tc>
          <w:tcPr>
            <w:tcW w:w="853" w:type="dxa"/>
            <w:shd w:val="clear" w:color="auto" w:fill="auto"/>
            <w:vAlign w:val="center"/>
          </w:tcPr>
          <w:p w:rsidR="00F26BD4" w:rsidRPr="00AB1652" w:rsidRDefault="003E0562" w:rsidP="00E463E4">
            <w:pPr>
              <w:jc w:val="center"/>
              <w:rPr>
                <w:rFonts w:cs="Arial"/>
                <w:sz w:val="20"/>
              </w:rPr>
            </w:pPr>
            <w:r>
              <w:rPr>
                <w:rFonts w:cs="Arial"/>
                <w:sz w:val="20"/>
              </w:rPr>
              <w:t>527</w:t>
            </w:r>
          </w:p>
        </w:tc>
        <w:tc>
          <w:tcPr>
            <w:tcW w:w="747" w:type="dxa"/>
            <w:shd w:val="clear" w:color="auto" w:fill="auto"/>
            <w:vAlign w:val="center"/>
          </w:tcPr>
          <w:p w:rsidR="00F26BD4" w:rsidRPr="00AB1652" w:rsidRDefault="003E0562" w:rsidP="00E463E4">
            <w:pPr>
              <w:jc w:val="center"/>
              <w:rPr>
                <w:rFonts w:cs="Arial"/>
                <w:sz w:val="20"/>
              </w:rPr>
            </w:pPr>
            <w:r>
              <w:rPr>
                <w:rFonts w:cs="Arial"/>
                <w:sz w:val="20"/>
              </w:rPr>
              <w:t>77.0</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362</w:t>
            </w:r>
          </w:p>
        </w:tc>
        <w:tc>
          <w:tcPr>
            <w:tcW w:w="745" w:type="dxa"/>
            <w:shd w:val="clear" w:color="auto" w:fill="auto"/>
            <w:vAlign w:val="center"/>
          </w:tcPr>
          <w:p w:rsidR="00F26BD4" w:rsidRPr="00AB1652" w:rsidRDefault="003E0562" w:rsidP="00E463E4">
            <w:pPr>
              <w:jc w:val="center"/>
              <w:rPr>
                <w:rFonts w:cs="Arial"/>
                <w:sz w:val="20"/>
              </w:rPr>
            </w:pPr>
            <w:r>
              <w:rPr>
                <w:rFonts w:cs="Arial"/>
                <w:sz w:val="20"/>
              </w:rPr>
              <w:t>68.7</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43</w:t>
            </w:r>
          </w:p>
        </w:tc>
        <w:tc>
          <w:tcPr>
            <w:tcW w:w="749" w:type="dxa"/>
            <w:shd w:val="clear" w:color="auto" w:fill="auto"/>
            <w:vAlign w:val="center"/>
          </w:tcPr>
          <w:p w:rsidR="00F26BD4" w:rsidRPr="00AB1652" w:rsidRDefault="00240B73" w:rsidP="00E463E4">
            <w:pPr>
              <w:jc w:val="center"/>
              <w:rPr>
                <w:rFonts w:cs="Arial"/>
                <w:sz w:val="20"/>
              </w:rPr>
            </w:pPr>
            <w:r>
              <w:rPr>
                <w:rFonts w:cs="Arial"/>
                <w:sz w:val="20"/>
              </w:rPr>
              <w:t>8.2</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131</w:t>
            </w:r>
          </w:p>
        </w:tc>
        <w:tc>
          <w:tcPr>
            <w:tcW w:w="743" w:type="dxa"/>
            <w:shd w:val="clear" w:color="auto" w:fill="auto"/>
            <w:vAlign w:val="center"/>
          </w:tcPr>
          <w:p w:rsidR="00F26BD4" w:rsidRPr="00AB1652" w:rsidRDefault="003E0562" w:rsidP="00E463E4">
            <w:pPr>
              <w:jc w:val="center"/>
              <w:rPr>
                <w:rFonts w:cs="Arial"/>
                <w:sz w:val="20"/>
              </w:rPr>
            </w:pPr>
            <w:r>
              <w:rPr>
                <w:rFonts w:cs="Arial"/>
                <w:sz w:val="20"/>
              </w:rPr>
              <w:t>24.9</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323</w:t>
            </w:r>
          </w:p>
        </w:tc>
        <w:tc>
          <w:tcPr>
            <w:tcW w:w="741" w:type="dxa"/>
            <w:shd w:val="clear" w:color="auto" w:fill="auto"/>
            <w:vAlign w:val="center"/>
          </w:tcPr>
          <w:p w:rsidR="00F26BD4" w:rsidRPr="00AB1652" w:rsidRDefault="003E0562" w:rsidP="00E463E4">
            <w:pPr>
              <w:jc w:val="center"/>
              <w:rPr>
                <w:rFonts w:cs="Arial"/>
                <w:sz w:val="20"/>
              </w:rPr>
            </w:pPr>
            <w:r>
              <w:rPr>
                <w:rFonts w:cs="Arial"/>
                <w:sz w:val="20"/>
              </w:rPr>
              <w:t>61.3</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73</w:t>
            </w:r>
          </w:p>
        </w:tc>
        <w:tc>
          <w:tcPr>
            <w:tcW w:w="743" w:type="dxa"/>
            <w:shd w:val="clear" w:color="auto" w:fill="auto"/>
            <w:vAlign w:val="center"/>
          </w:tcPr>
          <w:p w:rsidR="00F26BD4" w:rsidRPr="00AB1652" w:rsidRDefault="003E0562" w:rsidP="00E463E4">
            <w:pPr>
              <w:jc w:val="center"/>
              <w:rPr>
                <w:rFonts w:cs="Arial"/>
                <w:sz w:val="20"/>
              </w:rPr>
            </w:pPr>
            <w:r>
              <w:rPr>
                <w:rFonts w:cs="Arial"/>
                <w:sz w:val="20"/>
              </w:rPr>
              <w:t>13.9</w:t>
            </w:r>
          </w:p>
        </w:tc>
        <w:tc>
          <w:tcPr>
            <w:tcW w:w="2853" w:type="dxa"/>
            <w:shd w:val="clear" w:color="auto" w:fill="auto"/>
            <w:vAlign w:val="center"/>
          </w:tcPr>
          <w:p w:rsidR="00F26BD4" w:rsidRPr="00AB1652" w:rsidRDefault="003E0562" w:rsidP="00E463E4">
            <w:pPr>
              <w:jc w:val="center"/>
              <w:rPr>
                <w:rFonts w:cs="Arial"/>
                <w:sz w:val="20"/>
              </w:rPr>
            </w:pPr>
            <w:r>
              <w:rPr>
                <w:rFonts w:cs="Arial"/>
                <w:sz w:val="20"/>
              </w:rPr>
              <w:t>5.2</w:t>
            </w:r>
          </w:p>
        </w:tc>
      </w:tr>
      <w:tr w:rsidR="00F26BD4" w:rsidRPr="00AB1652" w:rsidTr="00E463E4">
        <w:trPr>
          <w:trHeight w:val="576"/>
        </w:trPr>
        <w:tc>
          <w:tcPr>
            <w:tcW w:w="2964" w:type="dxa"/>
            <w:shd w:val="clear" w:color="auto" w:fill="auto"/>
            <w:vAlign w:val="center"/>
          </w:tcPr>
          <w:p w:rsidR="00F26BD4" w:rsidRPr="00AB1652" w:rsidRDefault="00CD4761" w:rsidP="00E463E4">
            <w:pPr>
              <w:rPr>
                <w:rFonts w:cs="Arial"/>
                <w:sz w:val="20"/>
              </w:rPr>
            </w:pPr>
            <w:r w:rsidRPr="00AB1652">
              <w:rPr>
                <w:rFonts w:cs="Arial"/>
                <w:sz w:val="20"/>
              </w:rPr>
              <w:t xml:space="preserve">Opened at </w:t>
            </w:r>
            <w:r w:rsidR="00F26BD4" w:rsidRPr="00AB1652">
              <w:rPr>
                <w:rFonts w:cs="Arial"/>
                <w:sz w:val="20"/>
              </w:rPr>
              <w:t>Investigation</w:t>
            </w:r>
          </w:p>
        </w:tc>
        <w:tc>
          <w:tcPr>
            <w:tcW w:w="853" w:type="dxa"/>
            <w:shd w:val="clear" w:color="auto" w:fill="auto"/>
            <w:vAlign w:val="center"/>
          </w:tcPr>
          <w:p w:rsidR="00F26BD4" w:rsidRPr="00AB1652" w:rsidRDefault="003E0562" w:rsidP="00E463E4">
            <w:pPr>
              <w:jc w:val="center"/>
              <w:rPr>
                <w:rFonts w:cs="Arial"/>
                <w:sz w:val="20"/>
              </w:rPr>
            </w:pPr>
            <w:r>
              <w:rPr>
                <w:rFonts w:cs="Arial"/>
                <w:sz w:val="20"/>
              </w:rPr>
              <w:t>109</w:t>
            </w:r>
          </w:p>
        </w:tc>
        <w:tc>
          <w:tcPr>
            <w:tcW w:w="747" w:type="dxa"/>
            <w:shd w:val="clear" w:color="auto" w:fill="auto"/>
            <w:vAlign w:val="center"/>
          </w:tcPr>
          <w:p w:rsidR="00F26BD4" w:rsidRPr="00AB1652" w:rsidRDefault="003E0562" w:rsidP="00E463E4">
            <w:pPr>
              <w:jc w:val="center"/>
              <w:rPr>
                <w:rFonts w:cs="Arial"/>
                <w:sz w:val="20"/>
              </w:rPr>
            </w:pPr>
            <w:r>
              <w:rPr>
                <w:rFonts w:cs="Arial"/>
                <w:sz w:val="20"/>
              </w:rPr>
              <w:t>15.9</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59</w:t>
            </w:r>
          </w:p>
        </w:tc>
        <w:tc>
          <w:tcPr>
            <w:tcW w:w="745" w:type="dxa"/>
            <w:shd w:val="clear" w:color="auto" w:fill="auto"/>
            <w:vAlign w:val="center"/>
          </w:tcPr>
          <w:p w:rsidR="00F26BD4" w:rsidRPr="00AB1652" w:rsidRDefault="003E0562" w:rsidP="00E463E4">
            <w:pPr>
              <w:jc w:val="center"/>
              <w:rPr>
                <w:rFonts w:cs="Arial"/>
                <w:sz w:val="20"/>
              </w:rPr>
            </w:pPr>
            <w:r>
              <w:rPr>
                <w:rFonts w:cs="Arial"/>
                <w:sz w:val="20"/>
              </w:rPr>
              <w:t>54.1</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40</w:t>
            </w:r>
          </w:p>
        </w:tc>
        <w:tc>
          <w:tcPr>
            <w:tcW w:w="749" w:type="dxa"/>
            <w:shd w:val="clear" w:color="auto" w:fill="auto"/>
            <w:vAlign w:val="center"/>
          </w:tcPr>
          <w:p w:rsidR="00F26BD4" w:rsidRPr="00AB1652" w:rsidRDefault="003E0562" w:rsidP="00E463E4">
            <w:pPr>
              <w:jc w:val="center"/>
              <w:rPr>
                <w:rFonts w:cs="Arial"/>
                <w:sz w:val="20"/>
              </w:rPr>
            </w:pPr>
            <w:r>
              <w:rPr>
                <w:rFonts w:cs="Arial"/>
                <w:sz w:val="20"/>
              </w:rPr>
              <w:t>36.7</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14</w:t>
            </w:r>
          </w:p>
        </w:tc>
        <w:tc>
          <w:tcPr>
            <w:tcW w:w="743" w:type="dxa"/>
            <w:shd w:val="clear" w:color="auto" w:fill="auto"/>
            <w:vAlign w:val="center"/>
          </w:tcPr>
          <w:p w:rsidR="00F26BD4" w:rsidRPr="00AB1652" w:rsidRDefault="003E0562" w:rsidP="00E463E4">
            <w:pPr>
              <w:jc w:val="center"/>
              <w:rPr>
                <w:rFonts w:cs="Arial"/>
                <w:sz w:val="20"/>
              </w:rPr>
            </w:pPr>
            <w:r>
              <w:rPr>
                <w:rFonts w:cs="Arial"/>
                <w:sz w:val="20"/>
              </w:rPr>
              <w:t>12.8</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67</w:t>
            </w:r>
          </w:p>
        </w:tc>
        <w:tc>
          <w:tcPr>
            <w:tcW w:w="741" w:type="dxa"/>
            <w:shd w:val="clear" w:color="auto" w:fill="auto"/>
            <w:vAlign w:val="center"/>
          </w:tcPr>
          <w:p w:rsidR="00F26BD4" w:rsidRPr="00AB1652" w:rsidRDefault="003E0562" w:rsidP="00E463E4">
            <w:pPr>
              <w:jc w:val="center"/>
              <w:rPr>
                <w:rFonts w:cs="Arial"/>
                <w:sz w:val="20"/>
              </w:rPr>
            </w:pPr>
            <w:r>
              <w:rPr>
                <w:rFonts w:cs="Arial"/>
                <w:sz w:val="20"/>
              </w:rPr>
              <w:t>61.5</w:t>
            </w:r>
          </w:p>
        </w:tc>
        <w:tc>
          <w:tcPr>
            <w:tcW w:w="852" w:type="dxa"/>
            <w:shd w:val="clear" w:color="auto" w:fill="auto"/>
            <w:vAlign w:val="center"/>
          </w:tcPr>
          <w:p w:rsidR="00F26BD4" w:rsidRPr="00AB1652" w:rsidRDefault="003E0562" w:rsidP="00E463E4">
            <w:pPr>
              <w:jc w:val="center"/>
              <w:rPr>
                <w:rFonts w:cs="Arial"/>
                <w:sz w:val="20"/>
              </w:rPr>
            </w:pPr>
            <w:r>
              <w:rPr>
                <w:rFonts w:cs="Arial"/>
                <w:sz w:val="20"/>
              </w:rPr>
              <w:t>28</w:t>
            </w:r>
          </w:p>
        </w:tc>
        <w:tc>
          <w:tcPr>
            <w:tcW w:w="743" w:type="dxa"/>
            <w:shd w:val="clear" w:color="auto" w:fill="auto"/>
            <w:vAlign w:val="center"/>
          </w:tcPr>
          <w:p w:rsidR="00F26BD4" w:rsidRPr="00AB1652" w:rsidRDefault="003E0562" w:rsidP="00E463E4">
            <w:pPr>
              <w:jc w:val="center"/>
              <w:rPr>
                <w:rFonts w:cs="Arial"/>
                <w:sz w:val="20"/>
              </w:rPr>
            </w:pPr>
            <w:r>
              <w:rPr>
                <w:rFonts w:cs="Arial"/>
                <w:sz w:val="20"/>
              </w:rPr>
              <w:t>25.7</w:t>
            </w:r>
          </w:p>
        </w:tc>
        <w:tc>
          <w:tcPr>
            <w:tcW w:w="2853" w:type="dxa"/>
            <w:shd w:val="clear" w:color="auto" w:fill="auto"/>
            <w:vAlign w:val="center"/>
          </w:tcPr>
          <w:p w:rsidR="00F26BD4" w:rsidRPr="00AB1652" w:rsidRDefault="003E0562" w:rsidP="00E463E4">
            <w:pPr>
              <w:jc w:val="center"/>
              <w:rPr>
                <w:rFonts w:cs="Arial"/>
                <w:sz w:val="20"/>
              </w:rPr>
            </w:pPr>
            <w:r>
              <w:rPr>
                <w:rFonts w:cs="Arial"/>
                <w:sz w:val="20"/>
              </w:rPr>
              <w:t>21.5</w:t>
            </w:r>
          </w:p>
        </w:tc>
      </w:tr>
      <w:tr w:rsidR="00CD4761" w:rsidRPr="00AB1652" w:rsidTr="00E463E4">
        <w:trPr>
          <w:trHeight w:val="576"/>
        </w:trPr>
        <w:tc>
          <w:tcPr>
            <w:tcW w:w="2964" w:type="dxa"/>
            <w:shd w:val="clear" w:color="auto" w:fill="auto"/>
            <w:vAlign w:val="center"/>
          </w:tcPr>
          <w:p w:rsidR="00CD4761" w:rsidRPr="00AB1652" w:rsidRDefault="00CD4761" w:rsidP="00E463E4">
            <w:pPr>
              <w:rPr>
                <w:rFonts w:cs="Arial"/>
                <w:sz w:val="20"/>
              </w:rPr>
            </w:pPr>
            <w:r w:rsidRPr="00AB1652">
              <w:rPr>
                <w:rFonts w:cs="Arial"/>
                <w:sz w:val="20"/>
              </w:rPr>
              <w:t>Escalated to Investigation</w:t>
            </w:r>
          </w:p>
        </w:tc>
        <w:tc>
          <w:tcPr>
            <w:tcW w:w="853" w:type="dxa"/>
            <w:shd w:val="clear" w:color="auto" w:fill="auto"/>
            <w:vAlign w:val="center"/>
          </w:tcPr>
          <w:p w:rsidR="00CD4761" w:rsidRPr="00AB1652" w:rsidRDefault="003E0562" w:rsidP="00E463E4">
            <w:pPr>
              <w:jc w:val="center"/>
              <w:rPr>
                <w:rFonts w:cs="Arial"/>
                <w:sz w:val="20"/>
              </w:rPr>
            </w:pPr>
            <w:r>
              <w:rPr>
                <w:rFonts w:cs="Arial"/>
                <w:sz w:val="20"/>
              </w:rPr>
              <w:t>48</w:t>
            </w:r>
          </w:p>
        </w:tc>
        <w:tc>
          <w:tcPr>
            <w:tcW w:w="747" w:type="dxa"/>
            <w:shd w:val="clear" w:color="auto" w:fill="auto"/>
            <w:vAlign w:val="center"/>
          </w:tcPr>
          <w:p w:rsidR="00CD4761" w:rsidRPr="00AB1652" w:rsidRDefault="003E0562" w:rsidP="00E463E4">
            <w:pPr>
              <w:jc w:val="center"/>
              <w:rPr>
                <w:rFonts w:cs="Arial"/>
                <w:sz w:val="20"/>
              </w:rPr>
            </w:pPr>
            <w:r>
              <w:rPr>
                <w:rFonts w:cs="Arial"/>
                <w:sz w:val="20"/>
              </w:rPr>
              <w:t>7.0</w:t>
            </w:r>
          </w:p>
        </w:tc>
        <w:tc>
          <w:tcPr>
            <w:tcW w:w="852" w:type="dxa"/>
            <w:shd w:val="clear" w:color="auto" w:fill="auto"/>
            <w:vAlign w:val="center"/>
          </w:tcPr>
          <w:p w:rsidR="00CD4761" w:rsidRPr="00AB1652" w:rsidRDefault="003E0562" w:rsidP="00E463E4">
            <w:pPr>
              <w:jc w:val="center"/>
              <w:rPr>
                <w:rFonts w:cs="Arial"/>
                <w:sz w:val="20"/>
              </w:rPr>
            </w:pPr>
            <w:r>
              <w:rPr>
                <w:rFonts w:cs="Arial"/>
                <w:sz w:val="20"/>
              </w:rPr>
              <w:t>34</w:t>
            </w:r>
          </w:p>
        </w:tc>
        <w:tc>
          <w:tcPr>
            <w:tcW w:w="745" w:type="dxa"/>
            <w:shd w:val="clear" w:color="auto" w:fill="auto"/>
            <w:vAlign w:val="center"/>
          </w:tcPr>
          <w:p w:rsidR="00CD4761" w:rsidRPr="00AB1652" w:rsidRDefault="003E0562" w:rsidP="00E463E4">
            <w:pPr>
              <w:jc w:val="center"/>
              <w:rPr>
                <w:rFonts w:cs="Arial"/>
                <w:sz w:val="20"/>
              </w:rPr>
            </w:pPr>
            <w:r>
              <w:rPr>
                <w:rFonts w:cs="Arial"/>
                <w:sz w:val="20"/>
              </w:rPr>
              <w:t>70.8</w:t>
            </w:r>
          </w:p>
        </w:tc>
        <w:tc>
          <w:tcPr>
            <w:tcW w:w="852" w:type="dxa"/>
            <w:shd w:val="clear" w:color="auto" w:fill="auto"/>
            <w:vAlign w:val="center"/>
          </w:tcPr>
          <w:p w:rsidR="00CD4761" w:rsidRPr="00AB1652" w:rsidRDefault="003E0562" w:rsidP="00E463E4">
            <w:pPr>
              <w:jc w:val="center"/>
              <w:rPr>
                <w:rFonts w:cs="Arial"/>
                <w:sz w:val="20"/>
              </w:rPr>
            </w:pPr>
            <w:r>
              <w:rPr>
                <w:rFonts w:cs="Arial"/>
                <w:sz w:val="20"/>
              </w:rPr>
              <w:t>6</w:t>
            </w:r>
          </w:p>
        </w:tc>
        <w:tc>
          <w:tcPr>
            <w:tcW w:w="749" w:type="dxa"/>
            <w:shd w:val="clear" w:color="auto" w:fill="auto"/>
            <w:vAlign w:val="center"/>
          </w:tcPr>
          <w:p w:rsidR="00CD4761" w:rsidRPr="00AB1652" w:rsidRDefault="003E0562" w:rsidP="00E463E4">
            <w:pPr>
              <w:jc w:val="center"/>
              <w:rPr>
                <w:rFonts w:cs="Arial"/>
                <w:sz w:val="20"/>
              </w:rPr>
            </w:pPr>
            <w:r>
              <w:rPr>
                <w:rFonts w:cs="Arial"/>
                <w:sz w:val="20"/>
              </w:rPr>
              <w:t>12.5</w:t>
            </w:r>
          </w:p>
        </w:tc>
        <w:tc>
          <w:tcPr>
            <w:tcW w:w="852" w:type="dxa"/>
            <w:shd w:val="clear" w:color="auto" w:fill="auto"/>
            <w:vAlign w:val="center"/>
          </w:tcPr>
          <w:p w:rsidR="00CD4761" w:rsidRPr="00AB1652" w:rsidRDefault="003E0562" w:rsidP="0069414B">
            <w:pPr>
              <w:jc w:val="center"/>
              <w:rPr>
                <w:rFonts w:cs="Arial"/>
                <w:sz w:val="20"/>
              </w:rPr>
            </w:pPr>
            <w:r>
              <w:rPr>
                <w:rFonts w:cs="Arial"/>
                <w:sz w:val="20"/>
              </w:rPr>
              <w:t>8</w:t>
            </w:r>
          </w:p>
        </w:tc>
        <w:tc>
          <w:tcPr>
            <w:tcW w:w="743" w:type="dxa"/>
            <w:shd w:val="clear" w:color="auto" w:fill="auto"/>
            <w:vAlign w:val="center"/>
          </w:tcPr>
          <w:p w:rsidR="00CD4761" w:rsidRPr="00AB1652" w:rsidRDefault="003E0562" w:rsidP="00E463E4">
            <w:pPr>
              <w:jc w:val="center"/>
              <w:rPr>
                <w:rFonts w:cs="Arial"/>
                <w:sz w:val="20"/>
              </w:rPr>
            </w:pPr>
            <w:r>
              <w:rPr>
                <w:rFonts w:cs="Arial"/>
                <w:sz w:val="20"/>
              </w:rPr>
              <w:t>16.7</w:t>
            </w:r>
          </w:p>
        </w:tc>
        <w:tc>
          <w:tcPr>
            <w:tcW w:w="852" w:type="dxa"/>
            <w:shd w:val="clear" w:color="auto" w:fill="auto"/>
            <w:vAlign w:val="center"/>
          </w:tcPr>
          <w:p w:rsidR="00CD4761" w:rsidRPr="00AB1652" w:rsidRDefault="003E0562" w:rsidP="00E463E4">
            <w:pPr>
              <w:jc w:val="center"/>
              <w:rPr>
                <w:rFonts w:cs="Arial"/>
                <w:sz w:val="20"/>
              </w:rPr>
            </w:pPr>
            <w:r>
              <w:rPr>
                <w:rFonts w:cs="Arial"/>
                <w:sz w:val="20"/>
              </w:rPr>
              <w:t>29</w:t>
            </w:r>
          </w:p>
        </w:tc>
        <w:tc>
          <w:tcPr>
            <w:tcW w:w="741" w:type="dxa"/>
            <w:shd w:val="clear" w:color="auto" w:fill="auto"/>
            <w:vAlign w:val="center"/>
          </w:tcPr>
          <w:p w:rsidR="00CD4761" w:rsidRPr="00AB1652" w:rsidRDefault="003E0562" w:rsidP="00E463E4">
            <w:pPr>
              <w:jc w:val="center"/>
              <w:rPr>
                <w:rFonts w:cs="Arial"/>
                <w:sz w:val="20"/>
              </w:rPr>
            </w:pPr>
            <w:r>
              <w:rPr>
                <w:rFonts w:cs="Arial"/>
                <w:sz w:val="20"/>
              </w:rPr>
              <w:t>60.4</w:t>
            </w:r>
          </w:p>
        </w:tc>
        <w:tc>
          <w:tcPr>
            <w:tcW w:w="852" w:type="dxa"/>
            <w:shd w:val="clear" w:color="auto" w:fill="auto"/>
            <w:vAlign w:val="center"/>
          </w:tcPr>
          <w:p w:rsidR="00CD4761" w:rsidRPr="00AB1652" w:rsidRDefault="003E0562" w:rsidP="00AE73D0">
            <w:pPr>
              <w:jc w:val="center"/>
              <w:rPr>
                <w:rFonts w:cs="Arial"/>
                <w:sz w:val="20"/>
              </w:rPr>
            </w:pPr>
            <w:r>
              <w:rPr>
                <w:rFonts w:cs="Arial"/>
                <w:sz w:val="20"/>
              </w:rPr>
              <w:t>11</w:t>
            </w:r>
          </w:p>
        </w:tc>
        <w:tc>
          <w:tcPr>
            <w:tcW w:w="743" w:type="dxa"/>
            <w:shd w:val="clear" w:color="auto" w:fill="auto"/>
            <w:vAlign w:val="center"/>
          </w:tcPr>
          <w:p w:rsidR="00CD4761" w:rsidRPr="00AB1652" w:rsidRDefault="003E0562" w:rsidP="00E463E4">
            <w:pPr>
              <w:jc w:val="center"/>
              <w:rPr>
                <w:rFonts w:cs="Arial"/>
                <w:sz w:val="20"/>
              </w:rPr>
            </w:pPr>
            <w:r>
              <w:rPr>
                <w:rFonts w:cs="Arial"/>
                <w:sz w:val="20"/>
              </w:rPr>
              <w:t>22.9</w:t>
            </w:r>
          </w:p>
        </w:tc>
        <w:tc>
          <w:tcPr>
            <w:tcW w:w="2853" w:type="dxa"/>
            <w:shd w:val="clear" w:color="auto" w:fill="auto"/>
            <w:vAlign w:val="center"/>
          </w:tcPr>
          <w:p w:rsidR="00CD4761" w:rsidRPr="00AB1652" w:rsidRDefault="003E0562" w:rsidP="00E463E4">
            <w:pPr>
              <w:jc w:val="center"/>
              <w:rPr>
                <w:rFonts w:cs="Arial"/>
                <w:sz w:val="20"/>
              </w:rPr>
            </w:pPr>
            <w:r>
              <w:rPr>
                <w:rFonts w:cs="Arial"/>
                <w:sz w:val="20"/>
              </w:rPr>
              <w:t>14.3</w:t>
            </w:r>
          </w:p>
        </w:tc>
      </w:tr>
    </w:tbl>
    <w:p w:rsidR="00F26BD4" w:rsidRPr="00AB1652" w:rsidRDefault="00F26BD4" w:rsidP="00BD6F79">
      <w:pPr>
        <w:ind w:left="720" w:hanging="720"/>
        <w:jc w:val="both"/>
        <w:rPr>
          <w:rFonts w:cs="Arial"/>
          <w:sz w:val="20"/>
        </w:rPr>
        <w:sectPr w:rsidR="00F26BD4" w:rsidRPr="00AB1652" w:rsidSect="00E40DC9">
          <w:pgSz w:w="16838" w:h="11906" w:orient="landscape" w:code="9"/>
          <w:pgMar w:top="1298" w:right="862" w:bottom="1298" w:left="862" w:header="720" w:footer="720" w:gutter="0"/>
          <w:paperSrc w:first="15" w:other="15"/>
          <w:cols w:space="720"/>
          <w:docGrid w:linePitch="299"/>
        </w:sectPr>
      </w:pPr>
    </w:p>
    <w:p w:rsidR="00540467" w:rsidRPr="00AB1652" w:rsidRDefault="00F26BD4" w:rsidP="000C006E">
      <w:pPr>
        <w:ind w:left="720" w:hanging="720"/>
        <w:jc w:val="right"/>
        <w:rPr>
          <w:rFonts w:cs="Arial"/>
          <w:b/>
          <w:sz w:val="20"/>
        </w:rPr>
      </w:pPr>
      <w:r w:rsidRPr="00AB1652">
        <w:rPr>
          <w:rFonts w:cs="Arial"/>
          <w:b/>
          <w:sz w:val="20"/>
        </w:rPr>
        <w:lastRenderedPageBreak/>
        <w:t>APPENDIX TWO</w:t>
      </w:r>
    </w:p>
    <w:p w:rsidR="00F26BD4" w:rsidRPr="00AB1652" w:rsidRDefault="00F26BD4" w:rsidP="00BD6F79">
      <w:pPr>
        <w:ind w:left="720" w:hanging="720"/>
        <w:jc w:val="both"/>
        <w:rPr>
          <w:rFonts w:cs="Arial"/>
          <w:sz w:val="20"/>
        </w:rPr>
      </w:pPr>
    </w:p>
    <w:p w:rsidR="00F26BD4" w:rsidRPr="00AB1652" w:rsidRDefault="00F26BD4" w:rsidP="00BD6F79">
      <w:pPr>
        <w:ind w:left="720" w:hanging="720"/>
        <w:jc w:val="both"/>
        <w:rPr>
          <w:rFonts w:cs="Arial"/>
          <w:b/>
          <w:sz w:val="20"/>
        </w:rPr>
      </w:pPr>
      <w:r w:rsidRPr="00AB1652">
        <w:rPr>
          <w:rFonts w:cs="Arial"/>
          <w:b/>
          <w:sz w:val="20"/>
        </w:rPr>
        <w:t>COMPLAINTS STATISTICS</w:t>
      </w:r>
    </w:p>
    <w:p w:rsidR="00F26BD4" w:rsidRPr="00AB1652" w:rsidRDefault="00F26BD4" w:rsidP="00BD6F79">
      <w:pPr>
        <w:ind w:left="720" w:hanging="720"/>
        <w:jc w:val="both"/>
        <w:rPr>
          <w:rFonts w:cs="Arial"/>
          <w:sz w:val="20"/>
        </w:rPr>
      </w:pPr>
    </w:p>
    <w:p w:rsidR="00833E1B" w:rsidRPr="00AB1652" w:rsidRDefault="00833E1B" w:rsidP="00257BAF">
      <w:pPr>
        <w:ind w:left="720"/>
        <w:rPr>
          <w:rFonts w:cs="Arial"/>
          <w:sz w:val="20"/>
        </w:rPr>
      </w:pPr>
      <w:r w:rsidRPr="00AB1652">
        <w:rPr>
          <w:rFonts w:cs="Arial"/>
          <w:b/>
          <w:noProof/>
          <w:sz w:val="20"/>
        </w:rPr>
        <w:drawing>
          <wp:inline distT="0" distB="0" distL="0" distR="0" wp14:anchorId="6CA295DD" wp14:editId="345C30F4">
            <wp:extent cx="5419725" cy="26193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33E1B" w:rsidRPr="00AB1652" w:rsidRDefault="00833E1B" w:rsidP="00BC7B11">
      <w:pPr>
        <w:ind w:left="720"/>
        <w:jc w:val="both"/>
        <w:rPr>
          <w:rFonts w:cs="Arial"/>
          <w:sz w:val="20"/>
        </w:rPr>
      </w:pPr>
    </w:p>
    <w:p w:rsidR="00833E1B" w:rsidRPr="00AB1652" w:rsidRDefault="00235679" w:rsidP="00BC7B11">
      <w:pPr>
        <w:ind w:left="720"/>
        <w:jc w:val="both"/>
        <w:rPr>
          <w:rFonts w:cs="Arial"/>
          <w:sz w:val="20"/>
        </w:rPr>
      </w:pPr>
      <w:r w:rsidRPr="00AB1652">
        <w:rPr>
          <w:rFonts w:cs="Arial"/>
          <w:sz w:val="20"/>
        </w:rPr>
        <w:t>While the</w:t>
      </w:r>
      <w:r w:rsidR="00033184" w:rsidRPr="00AB1652">
        <w:rPr>
          <w:rFonts w:cs="Arial"/>
          <w:sz w:val="20"/>
        </w:rPr>
        <w:t xml:space="preserve"> overall</w:t>
      </w:r>
      <w:r w:rsidRPr="00AB1652">
        <w:rPr>
          <w:rFonts w:cs="Arial"/>
          <w:sz w:val="20"/>
        </w:rPr>
        <w:t xml:space="preserve"> trend </w:t>
      </w:r>
      <w:r w:rsidR="00033184" w:rsidRPr="00AB1652">
        <w:rPr>
          <w:rFonts w:cs="Arial"/>
          <w:sz w:val="20"/>
        </w:rPr>
        <w:t xml:space="preserve">has risen since 2012, </w:t>
      </w:r>
      <w:r w:rsidRPr="00AB1652">
        <w:rPr>
          <w:rFonts w:cs="Arial"/>
          <w:sz w:val="20"/>
        </w:rPr>
        <w:t>we believe this reflects greater use of the electronic complaints recording system rather than any inc</w:t>
      </w:r>
      <w:r w:rsidR="00F12A34" w:rsidRPr="00AB1652">
        <w:rPr>
          <w:rFonts w:cs="Arial"/>
          <w:sz w:val="20"/>
        </w:rPr>
        <w:t>rease in actual dissatisfaction.  The Cou</w:t>
      </w:r>
      <w:r w:rsidR="00A832F1" w:rsidRPr="00AB1652">
        <w:rPr>
          <w:rFonts w:cs="Arial"/>
          <w:sz w:val="20"/>
        </w:rPr>
        <w:t xml:space="preserve">ncil should continue to emphasise that it welcomes </w:t>
      </w:r>
      <w:r w:rsidR="00F12A34" w:rsidRPr="00AB1652">
        <w:rPr>
          <w:rFonts w:cs="Arial"/>
          <w:sz w:val="20"/>
        </w:rPr>
        <w:t>complaints as a valuable source of customer feedback and an opportunity to identify improvements, rather than something negative.</w:t>
      </w:r>
    </w:p>
    <w:p w:rsidR="00833E1B" w:rsidRPr="00AB1652" w:rsidRDefault="00833E1B" w:rsidP="00BC7B11">
      <w:pPr>
        <w:ind w:left="720"/>
        <w:rPr>
          <w:rFonts w:cs="Arial"/>
          <w:sz w:val="20"/>
        </w:rPr>
      </w:pPr>
    </w:p>
    <w:p w:rsidR="00EA27A6" w:rsidRPr="00AB1652" w:rsidRDefault="00EA27A6" w:rsidP="00BC7B11">
      <w:pPr>
        <w:ind w:left="720"/>
        <w:rPr>
          <w:rFonts w:cs="Arial"/>
          <w:sz w:val="20"/>
        </w:rPr>
      </w:pPr>
    </w:p>
    <w:p w:rsidR="00833E1B" w:rsidRPr="00AB1652" w:rsidRDefault="00833E1B" w:rsidP="0078260F">
      <w:pPr>
        <w:jc w:val="center"/>
        <w:rPr>
          <w:rFonts w:cs="Arial"/>
          <w:b/>
          <w:sz w:val="20"/>
        </w:rPr>
      </w:pPr>
      <w:r w:rsidRPr="00AB1652">
        <w:rPr>
          <w:rFonts w:cs="Arial"/>
          <w:b/>
          <w:sz w:val="20"/>
        </w:rPr>
        <w:t>% of stage 1 complaints closed</w:t>
      </w:r>
      <w:r w:rsidR="0078260F" w:rsidRPr="00AB1652">
        <w:rPr>
          <w:rFonts w:cs="Arial"/>
          <w:b/>
          <w:sz w:val="20"/>
        </w:rPr>
        <w:t xml:space="preserve"> w</w:t>
      </w:r>
      <w:r w:rsidR="00BC7B11" w:rsidRPr="00AB1652">
        <w:rPr>
          <w:rFonts w:cs="Arial"/>
          <w:b/>
          <w:sz w:val="20"/>
        </w:rPr>
        <w:t>ithin target</w:t>
      </w:r>
    </w:p>
    <w:p w:rsidR="00F60E20" w:rsidRPr="00AB1652" w:rsidRDefault="00F60E20" w:rsidP="00BC7B11">
      <w:pPr>
        <w:ind w:firstLine="720"/>
        <w:jc w:val="both"/>
        <w:rPr>
          <w:rFonts w:cs="Arial"/>
          <w:sz w:val="20"/>
        </w:rPr>
      </w:pPr>
    </w:p>
    <w:p w:rsidR="00833E1B" w:rsidRPr="00AB1652" w:rsidRDefault="00D97302" w:rsidP="00F60E20">
      <w:pPr>
        <w:ind w:left="720"/>
        <w:jc w:val="both"/>
        <w:rPr>
          <w:rFonts w:cs="Arial"/>
          <w:sz w:val="20"/>
        </w:rPr>
      </w:pPr>
      <w:r w:rsidRPr="007F38F7">
        <w:rPr>
          <w:rFonts w:cs="Arial"/>
          <w:noProof/>
          <w:sz w:val="20"/>
        </w:rPr>
        <w:drawing>
          <wp:anchor distT="0" distB="0" distL="114300" distR="114300" simplePos="0" relativeHeight="251659264" behindDoc="0" locked="0" layoutInCell="1" allowOverlap="1" wp14:anchorId="09570974" wp14:editId="6B124BA1">
            <wp:simplePos x="0" y="0"/>
            <wp:positionH relativeFrom="column">
              <wp:posOffset>461645</wp:posOffset>
            </wp:positionH>
            <wp:positionV relativeFrom="paragraph">
              <wp:posOffset>-635</wp:posOffset>
            </wp:positionV>
            <wp:extent cx="5581650" cy="2533650"/>
            <wp:effectExtent l="0" t="0" r="0" b="0"/>
            <wp:wrapNone/>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354E71" w:rsidRPr="00AB1652">
        <w:rPr>
          <w:rFonts w:cs="Arial"/>
          <w:noProof/>
          <w:sz w:val="20"/>
        </w:rPr>
        <w:drawing>
          <wp:inline distT="0" distB="0" distL="0" distR="0" wp14:anchorId="677137FC" wp14:editId="7D7D9FA7">
            <wp:extent cx="5419725" cy="25431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260F" w:rsidRPr="00AB1652" w:rsidRDefault="0078260F" w:rsidP="00F60E20">
      <w:pPr>
        <w:ind w:left="720"/>
        <w:jc w:val="both"/>
        <w:rPr>
          <w:rFonts w:cs="Arial"/>
          <w:sz w:val="20"/>
        </w:rPr>
      </w:pPr>
    </w:p>
    <w:p w:rsidR="00354E71" w:rsidRPr="00AB1652" w:rsidRDefault="00354E71" w:rsidP="00354E71">
      <w:pPr>
        <w:ind w:left="720"/>
        <w:jc w:val="both"/>
        <w:rPr>
          <w:rFonts w:cs="Arial"/>
          <w:noProof/>
          <w:sz w:val="20"/>
        </w:rPr>
      </w:pPr>
      <w:r w:rsidRPr="00AB1652">
        <w:rPr>
          <w:rFonts w:cs="Arial"/>
          <w:sz w:val="20"/>
        </w:rPr>
        <w:t>We continue to emphasise to staff the importance of responding to complaints within target (or contacting customers to agree extended targets if a qui</w:t>
      </w:r>
      <w:r w:rsidR="00A832F1" w:rsidRPr="00AB1652">
        <w:rPr>
          <w:rFonts w:cs="Arial"/>
          <w:sz w:val="20"/>
        </w:rPr>
        <w:t>ck response is not possible)</w:t>
      </w:r>
      <w:r w:rsidRPr="00AB1652">
        <w:rPr>
          <w:rFonts w:cs="Arial"/>
          <w:sz w:val="20"/>
        </w:rPr>
        <w:t>.</w:t>
      </w:r>
    </w:p>
    <w:p w:rsidR="00354E71" w:rsidRPr="00AB1652" w:rsidRDefault="00354E71" w:rsidP="00354E71">
      <w:pPr>
        <w:ind w:left="720"/>
        <w:jc w:val="both"/>
        <w:rPr>
          <w:rFonts w:cs="Arial"/>
          <w:noProof/>
          <w:sz w:val="20"/>
        </w:rPr>
      </w:pPr>
    </w:p>
    <w:p w:rsidR="00354E71" w:rsidRPr="00AB1652" w:rsidRDefault="00354E71">
      <w:pPr>
        <w:rPr>
          <w:rFonts w:cs="Arial"/>
          <w:b/>
          <w:sz w:val="20"/>
        </w:rPr>
      </w:pPr>
      <w:r w:rsidRPr="00AB1652">
        <w:rPr>
          <w:rFonts w:cs="Arial"/>
          <w:b/>
          <w:sz w:val="20"/>
        </w:rPr>
        <w:br w:type="page"/>
      </w:r>
    </w:p>
    <w:p w:rsidR="0078260F" w:rsidRPr="00AB1652" w:rsidRDefault="0078260F" w:rsidP="0078260F">
      <w:pPr>
        <w:ind w:left="720"/>
        <w:jc w:val="center"/>
        <w:rPr>
          <w:rFonts w:cs="Arial"/>
          <w:b/>
          <w:sz w:val="20"/>
        </w:rPr>
      </w:pPr>
      <w:r w:rsidRPr="00AB1652">
        <w:rPr>
          <w:rFonts w:cs="Arial"/>
          <w:b/>
          <w:sz w:val="20"/>
        </w:rPr>
        <w:lastRenderedPageBreak/>
        <w:t xml:space="preserve">% of stage 2 </w:t>
      </w:r>
      <w:r w:rsidR="007F778A" w:rsidRPr="00AB1652">
        <w:rPr>
          <w:rFonts w:cs="Arial"/>
          <w:b/>
          <w:sz w:val="20"/>
        </w:rPr>
        <w:t>complaints closed within target</w:t>
      </w:r>
    </w:p>
    <w:p w:rsidR="00CD4393" w:rsidRPr="00AB1652" w:rsidRDefault="00CD4393" w:rsidP="007F778A">
      <w:pPr>
        <w:ind w:left="720"/>
        <w:jc w:val="both"/>
        <w:rPr>
          <w:rFonts w:cs="Arial"/>
          <w:sz w:val="20"/>
        </w:rPr>
      </w:pPr>
    </w:p>
    <w:p w:rsidR="003B40DF" w:rsidRPr="00AB1652" w:rsidRDefault="00CD4393" w:rsidP="007F778A">
      <w:pPr>
        <w:ind w:left="720"/>
        <w:jc w:val="center"/>
        <w:rPr>
          <w:rFonts w:cs="Arial"/>
          <w:sz w:val="20"/>
        </w:rPr>
      </w:pPr>
      <w:r w:rsidRPr="00AB1652">
        <w:rPr>
          <w:rFonts w:cs="Arial"/>
          <w:noProof/>
          <w:sz w:val="20"/>
        </w:rPr>
        <w:drawing>
          <wp:inline distT="0" distB="0" distL="0" distR="0" wp14:anchorId="0185A100" wp14:editId="7E7E3FC2">
            <wp:extent cx="57531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B40DF" w:rsidRPr="00AB1652" w:rsidRDefault="003B40DF" w:rsidP="00F60E20">
      <w:pPr>
        <w:ind w:left="720"/>
        <w:jc w:val="both"/>
        <w:rPr>
          <w:rFonts w:cs="Arial"/>
          <w:noProof/>
          <w:sz w:val="20"/>
        </w:rPr>
      </w:pPr>
    </w:p>
    <w:p w:rsidR="003B40DF" w:rsidRDefault="00A4487C" w:rsidP="00002DB6">
      <w:pPr>
        <w:ind w:left="720"/>
        <w:jc w:val="both"/>
        <w:rPr>
          <w:rFonts w:cs="Arial"/>
          <w:noProof/>
          <w:sz w:val="20"/>
        </w:rPr>
      </w:pPr>
      <w:r w:rsidRPr="00AB1652">
        <w:rPr>
          <w:rFonts w:cs="Arial"/>
          <w:noProof/>
          <w:sz w:val="20"/>
        </w:rPr>
        <w:t xml:space="preserve">A very small number of complaints go to stage 2, so % figures will fluctuate considerably </w:t>
      </w:r>
      <w:r w:rsidR="00071694" w:rsidRPr="00AB1652">
        <w:rPr>
          <w:rFonts w:cs="Arial"/>
          <w:noProof/>
          <w:sz w:val="20"/>
        </w:rPr>
        <w:t xml:space="preserve">from one quarter to the next </w:t>
      </w:r>
      <w:r w:rsidRPr="00AB1652">
        <w:rPr>
          <w:rFonts w:cs="Arial"/>
          <w:noProof/>
          <w:sz w:val="20"/>
        </w:rPr>
        <w:t>due to individual cases.</w:t>
      </w:r>
      <w:r w:rsidR="00033184" w:rsidRPr="00AB1652">
        <w:rPr>
          <w:rFonts w:cs="Arial"/>
          <w:noProof/>
          <w:sz w:val="20"/>
        </w:rPr>
        <w:t xml:space="preserve">  Chief officers and managers receiving stage 2 complaints</w:t>
      </w:r>
      <w:r w:rsidR="006F0973" w:rsidRPr="00AB1652">
        <w:rPr>
          <w:rFonts w:cs="Arial"/>
          <w:noProof/>
          <w:sz w:val="20"/>
        </w:rPr>
        <w:t xml:space="preserve"> have been</w:t>
      </w:r>
      <w:r w:rsidR="00616F9F" w:rsidRPr="00AB1652">
        <w:rPr>
          <w:rFonts w:cs="Arial"/>
          <w:noProof/>
          <w:sz w:val="20"/>
        </w:rPr>
        <w:t xml:space="preserve"> reminded</w:t>
      </w:r>
      <w:r w:rsidR="00033184" w:rsidRPr="00AB1652">
        <w:rPr>
          <w:rFonts w:cs="Arial"/>
          <w:noProof/>
          <w:sz w:val="20"/>
        </w:rPr>
        <w:t xml:space="preserve"> that these should be </w:t>
      </w:r>
      <w:r w:rsidR="00033184" w:rsidRPr="00AB1652">
        <w:rPr>
          <w:rFonts w:cs="Arial"/>
          <w:noProof/>
          <w:sz w:val="20"/>
          <w:u w:val="single"/>
        </w:rPr>
        <w:t>acknowledged within 3 days</w:t>
      </w:r>
      <w:r w:rsidR="00033184" w:rsidRPr="00AB1652">
        <w:rPr>
          <w:rFonts w:cs="Arial"/>
          <w:noProof/>
          <w:sz w:val="20"/>
        </w:rPr>
        <w:t xml:space="preserve"> as well as responded to within 20 days or an agreed extended target timescale.</w:t>
      </w:r>
    </w:p>
    <w:p w:rsidR="00FF6C01" w:rsidRPr="00AB1652" w:rsidRDefault="00FF6C01" w:rsidP="00002DB6">
      <w:pPr>
        <w:ind w:left="720"/>
        <w:jc w:val="both"/>
        <w:rPr>
          <w:rFonts w:cs="Arial"/>
          <w:noProof/>
          <w:sz w:val="20"/>
        </w:rPr>
      </w:pPr>
    </w:p>
    <w:p w:rsidR="003B40DF" w:rsidRPr="00AB1652" w:rsidRDefault="003B40DF" w:rsidP="003B40DF">
      <w:pPr>
        <w:ind w:left="720"/>
        <w:jc w:val="center"/>
        <w:rPr>
          <w:rFonts w:cs="Arial"/>
          <w:b/>
          <w:sz w:val="20"/>
        </w:rPr>
      </w:pPr>
      <w:r w:rsidRPr="00AB1652">
        <w:rPr>
          <w:rFonts w:cs="Arial"/>
          <w:b/>
          <w:sz w:val="20"/>
        </w:rPr>
        <w:t>% of stage 1 complai</w:t>
      </w:r>
      <w:r w:rsidR="007F778A" w:rsidRPr="00AB1652">
        <w:rPr>
          <w:rFonts w:cs="Arial"/>
          <w:b/>
          <w:sz w:val="20"/>
        </w:rPr>
        <w:t>nts upheld and partially upheld</w:t>
      </w:r>
    </w:p>
    <w:p w:rsidR="00CD4393" w:rsidRPr="00AB1652" w:rsidRDefault="00CD4393" w:rsidP="007F778A">
      <w:pPr>
        <w:ind w:left="720"/>
        <w:rPr>
          <w:rFonts w:cs="Arial"/>
          <w:sz w:val="20"/>
        </w:rPr>
      </w:pPr>
    </w:p>
    <w:p w:rsidR="00235679" w:rsidRPr="00AB1652" w:rsidRDefault="00CD4393" w:rsidP="00F60E20">
      <w:pPr>
        <w:ind w:left="720"/>
        <w:jc w:val="both"/>
        <w:rPr>
          <w:rFonts w:cs="Arial"/>
          <w:sz w:val="20"/>
        </w:rPr>
      </w:pPr>
      <w:r w:rsidRPr="00AB1652">
        <w:rPr>
          <w:rFonts w:cs="Arial"/>
          <w:noProof/>
          <w:sz w:val="20"/>
        </w:rPr>
        <w:drawing>
          <wp:inline distT="0" distB="0" distL="0" distR="0" wp14:anchorId="6634D112" wp14:editId="13459136">
            <wp:extent cx="5619750" cy="2971800"/>
            <wp:effectExtent l="0" t="0" r="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33E1B" w:rsidRPr="00AB1652" w:rsidRDefault="00833E1B" w:rsidP="00F60E20">
      <w:pPr>
        <w:ind w:left="720"/>
        <w:jc w:val="both"/>
        <w:rPr>
          <w:rFonts w:cs="Arial"/>
          <w:sz w:val="20"/>
        </w:rPr>
      </w:pPr>
    </w:p>
    <w:p w:rsidR="007F778A" w:rsidRPr="00AB1652" w:rsidRDefault="003B40DF" w:rsidP="007F778A">
      <w:pPr>
        <w:ind w:left="720"/>
        <w:jc w:val="both"/>
        <w:rPr>
          <w:rFonts w:cs="Arial"/>
          <w:sz w:val="20"/>
        </w:rPr>
      </w:pPr>
      <w:r w:rsidRPr="00AB1652">
        <w:rPr>
          <w:rFonts w:cs="Arial"/>
          <w:sz w:val="20"/>
        </w:rPr>
        <w:t xml:space="preserve">‘Partially’ upheld was not originally included as an option in the indicators </w:t>
      </w:r>
      <w:r w:rsidR="002846A8" w:rsidRPr="00AB1652">
        <w:rPr>
          <w:rFonts w:cs="Arial"/>
          <w:sz w:val="20"/>
        </w:rPr>
        <w:t>specified</w:t>
      </w:r>
      <w:r w:rsidRPr="00AB1652">
        <w:rPr>
          <w:rFonts w:cs="Arial"/>
          <w:sz w:val="20"/>
        </w:rPr>
        <w:t xml:space="preserve"> by the SPSO, so these figures are only available from 1 October 2013.</w:t>
      </w:r>
      <w:r w:rsidR="00002DB6" w:rsidRPr="00AB1652">
        <w:rPr>
          <w:rFonts w:cs="Arial"/>
          <w:sz w:val="20"/>
        </w:rPr>
        <w:t xml:space="preserve">  The % of complaints being upheld or partially upheld appears reasonable.</w:t>
      </w:r>
      <w:r w:rsidR="007F778A" w:rsidRPr="00AB1652">
        <w:rPr>
          <w:rFonts w:cs="Arial"/>
          <w:sz w:val="20"/>
        </w:rPr>
        <w:br w:type="page"/>
      </w:r>
    </w:p>
    <w:p w:rsidR="00D551AE" w:rsidRPr="00AB1652" w:rsidRDefault="00D551AE" w:rsidP="00D551AE">
      <w:pPr>
        <w:ind w:left="720"/>
        <w:jc w:val="center"/>
        <w:rPr>
          <w:rFonts w:cs="Arial"/>
          <w:b/>
          <w:sz w:val="20"/>
        </w:rPr>
      </w:pPr>
      <w:r w:rsidRPr="00AB1652">
        <w:rPr>
          <w:rFonts w:cs="Arial"/>
          <w:b/>
          <w:sz w:val="20"/>
        </w:rPr>
        <w:lastRenderedPageBreak/>
        <w:t>% of stage 2 complaints upheld and part</w:t>
      </w:r>
      <w:r w:rsidR="007F778A" w:rsidRPr="00AB1652">
        <w:rPr>
          <w:rFonts w:cs="Arial"/>
          <w:b/>
          <w:sz w:val="20"/>
        </w:rPr>
        <w:t>ially upheld</w:t>
      </w:r>
    </w:p>
    <w:p w:rsidR="00F60E20" w:rsidRPr="00AB1652" w:rsidRDefault="00F60E20" w:rsidP="007F778A">
      <w:pPr>
        <w:ind w:left="1440" w:hanging="720"/>
        <w:jc w:val="both"/>
        <w:rPr>
          <w:rFonts w:cs="Arial"/>
          <w:sz w:val="20"/>
        </w:rPr>
      </w:pPr>
    </w:p>
    <w:p w:rsidR="0084499C" w:rsidRPr="00AB1652" w:rsidRDefault="0084499C" w:rsidP="007F778A">
      <w:pPr>
        <w:ind w:left="1440" w:hanging="720"/>
        <w:jc w:val="both"/>
        <w:rPr>
          <w:rFonts w:cs="Arial"/>
          <w:noProof/>
          <w:sz w:val="20"/>
        </w:rPr>
      </w:pPr>
      <w:r w:rsidRPr="00AB1652">
        <w:rPr>
          <w:rFonts w:cs="Arial"/>
          <w:noProof/>
          <w:sz w:val="20"/>
        </w:rPr>
        <w:drawing>
          <wp:inline distT="0" distB="0" distL="0" distR="0" wp14:anchorId="6EE0723F" wp14:editId="338BCC7B">
            <wp:extent cx="5314950" cy="3609975"/>
            <wp:effectExtent l="0" t="0" r="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14ED" w:rsidRPr="00AB1652" w:rsidRDefault="001414ED" w:rsidP="007F778A">
      <w:pPr>
        <w:ind w:left="720"/>
        <w:jc w:val="both"/>
        <w:rPr>
          <w:rFonts w:cs="Arial"/>
          <w:sz w:val="20"/>
        </w:rPr>
      </w:pPr>
    </w:p>
    <w:p w:rsidR="00A832F1" w:rsidRPr="00AB1652" w:rsidRDefault="00A832F1" w:rsidP="007F778A">
      <w:pPr>
        <w:ind w:left="720"/>
        <w:jc w:val="both"/>
        <w:rPr>
          <w:rFonts w:cs="Arial"/>
          <w:noProof/>
          <w:sz w:val="20"/>
        </w:rPr>
      </w:pPr>
      <w:r w:rsidRPr="00AB1652">
        <w:rPr>
          <w:rFonts w:cs="Arial"/>
          <w:sz w:val="20"/>
        </w:rPr>
        <w:t>A very small number of complaints go to stage 2, so % figures will fluctuate considerably from one quarter to the next due to individual cases.</w:t>
      </w:r>
      <w:r w:rsidRPr="00AB1652">
        <w:rPr>
          <w:rFonts w:cs="Arial"/>
          <w:noProof/>
          <w:sz w:val="20"/>
        </w:rPr>
        <w:t xml:space="preserve"> </w:t>
      </w:r>
    </w:p>
    <w:p w:rsidR="00A832F1" w:rsidRPr="00AB1652" w:rsidRDefault="00A832F1" w:rsidP="007F778A">
      <w:pPr>
        <w:ind w:left="1440" w:hanging="720"/>
        <w:jc w:val="both"/>
        <w:rPr>
          <w:rFonts w:cs="Arial"/>
          <w:sz w:val="20"/>
        </w:rPr>
      </w:pPr>
    </w:p>
    <w:p w:rsidR="007F778A" w:rsidRDefault="007F778A" w:rsidP="007F778A">
      <w:pPr>
        <w:ind w:left="1440" w:hanging="720"/>
        <w:jc w:val="both"/>
        <w:rPr>
          <w:rFonts w:cs="Arial"/>
          <w:sz w:val="20"/>
        </w:rPr>
      </w:pPr>
    </w:p>
    <w:p w:rsidR="006C6D78" w:rsidRPr="00AB1652" w:rsidRDefault="006C6D78" w:rsidP="007F778A">
      <w:pPr>
        <w:ind w:left="1440" w:hanging="720"/>
        <w:jc w:val="both"/>
        <w:rPr>
          <w:rFonts w:cs="Arial"/>
          <w:sz w:val="20"/>
        </w:rPr>
      </w:pPr>
    </w:p>
    <w:p w:rsidR="0078260F" w:rsidRPr="00AB1652" w:rsidRDefault="0078260F" w:rsidP="0078260F">
      <w:pPr>
        <w:jc w:val="center"/>
        <w:rPr>
          <w:rFonts w:cs="Arial"/>
          <w:b/>
          <w:sz w:val="20"/>
        </w:rPr>
      </w:pPr>
      <w:r w:rsidRPr="00AB1652">
        <w:rPr>
          <w:rFonts w:cs="Arial"/>
          <w:b/>
          <w:sz w:val="20"/>
        </w:rPr>
        <w:t>Average number of days to close complaints</w:t>
      </w:r>
    </w:p>
    <w:p w:rsidR="00A832F1" w:rsidRPr="00AB1652" w:rsidRDefault="00A832F1" w:rsidP="007F778A">
      <w:pPr>
        <w:ind w:left="720"/>
        <w:jc w:val="both"/>
        <w:rPr>
          <w:rFonts w:cs="Arial"/>
          <w:sz w:val="20"/>
        </w:rPr>
      </w:pPr>
    </w:p>
    <w:p w:rsidR="0084499C" w:rsidRPr="00AB1652" w:rsidRDefault="00A832F1" w:rsidP="0069732D">
      <w:pPr>
        <w:ind w:left="720"/>
        <w:rPr>
          <w:rFonts w:cs="Arial"/>
          <w:b/>
          <w:sz w:val="20"/>
        </w:rPr>
      </w:pPr>
      <w:r w:rsidRPr="00AB1652">
        <w:rPr>
          <w:rFonts w:cs="Arial"/>
          <w:noProof/>
          <w:sz w:val="20"/>
        </w:rPr>
        <w:drawing>
          <wp:inline distT="0" distB="0" distL="0" distR="0" wp14:anchorId="3367BE02" wp14:editId="2DF12107">
            <wp:extent cx="5391150" cy="31718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2ED2" w:rsidRPr="00AB1652" w:rsidRDefault="00722ED2" w:rsidP="007F778A">
      <w:pPr>
        <w:ind w:firstLine="720"/>
        <w:jc w:val="both"/>
        <w:rPr>
          <w:rFonts w:cs="Arial"/>
          <w:sz w:val="20"/>
        </w:rPr>
      </w:pPr>
    </w:p>
    <w:p w:rsidR="004C5123" w:rsidRPr="00AB1652" w:rsidRDefault="00A832F1" w:rsidP="007F778A">
      <w:pPr>
        <w:ind w:left="720"/>
        <w:jc w:val="both"/>
        <w:rPr>
          <w:rFonts w:cs="Arial"/>
          <w:sz w:val="20"/>
        </w:rPr>
      </w:pPr>
      <w:r w:rsidRPr="00AB1652">
        <w:rPr>
          <w:rFonts w:cs="Arial"/>
          <w:sz w:val="20"/>
        </w:rPr>
        <w:t xml:space="preserve">All services should aim to respond quickly to complaints, although it is acknowledged that some are complex and resolving these is likely to drive up the ‘average </w:t>
      </w:r>
      <w:r w:rsidR="00345C95" w:rsidRPr="00AB1652">
        <w:rPr>
          <w:rFonts w:cs="Arial"/>
          <w:sz w:val="20"/>
        </w:rPr>
        <w:t xml:space="preserve">number of </w:t>
      </w:r>
      <w:r w:rsidRPr="00AB1652">
        <w:rPr>
          <w:rFonts w:cs="Arial"/>
          <w:sz w:val="20"/>
        </w:rPr>
        <w:t>days to close’ performance.</w:t>
      </w:r>
    </w:p>
    <w:p w:rsidR="007F778A" w:rsidRPr="00AB1652" w:rsidRDefault="007F778A">
      <w:pPr>
        <w:rPr>
          <w:rFonts w:cs="Arial"/>
          <w:sz w:val="20"/>
        </w:rPr>
      </w:pPr>
      <w:r w:rsidRPr="00AB1652">
        <w:rPr>
          <w:rFonts w:cs="Arial"/>
          <w:sz w:val="20"/>
        </w:rPr>
        <w:br w:type="page"/>
      </w:r>
    </w:p>
    <w:p w:rsidR="00AD19F2" w:rsidRPr="00AB1652" w:rsidRDefault="00AD19F2" w:rsidP="000C006E">
      <w:pPr>
        <w:jc w:val="right"/>
        <w:rPr>
          <w:rFonts w:cs="Arial"/>
          <w:b/>
          <w:sz w:val="20"/>
        </w:rPr>
      </w:pPr>
      <w:r w:rsidRPr="00AB1652">
        <w:rPr>
          <w:rFonts w:cs="Arial"/>
          <w:b/>
          <w:sz w:val="20"/>
        </w:rPr>
        <w:lastRenderedPageBreak/>
        <w:t>APPENDIX THREE</w:t>
      </w:r>
    </w:p>
    <w:p w:rsidR="00AD19F2" w:rsidRPr="00AB1652" w:rsidRDefault="00AD19F2" w:rsidP="00AD19F2">
      <w:pPr>
        <w:rPr>
          <w:rFonts w:cs="Arial"/>
          <w:sz w:val="20"/>
        </w:rPr>
      </w:pPr>
    </w:p>
    <w:p w:rsidR="00AD19F2" w:rsidRPr="00AB1652" w:rsidRDefault="00ED7D60" w:rsidP="00AD19F2">
      <w:pPr>
        <w:rPr>
          <w:rFonts w:cs="Arial"/>
          <w:b/>
          <w:sz w:val="20"/>
        </w:rPr>
      </w:pPr>
      <w:r w:rsidRPr="00AB1652">
        <w:rPr>
          <w:rFonts w:cs="Arial"/>
          <w:b/>
          <w:sz w:val="20"/>
        </w:rPr>
        <w:t>RESULTS OF SATISFACTION</w:t>
      </w:r>
      <w:r w:rsidR="00A832F1" w:rsidRPr="00AB1652">
        <w:rPr>
          <w:rFonts w:cs="Arial"/>
          <w:b/>
          <w:sz w:val="20"/>
        </w:rPr>
        <w:t xml:space="preserve"> </w:t>
      </w:r>
      <w:r w:rsidR="00AD19F2" w:rsidRPr="00AB1652">
        <w:rPr>
          <w:rFonts w:cs="Arial"/>
          <w:b/>
          <w:sz w:val="20"/>
        </w:rPr>
        <w:t xml:space="preserve">SURVEY OF </w:t>
      </w:r>
      <w:r w:rsidR="00A832F1" w:rsidRPr="00AB1652">
        <w:rPr>
          <w:rFonts w:cs="Arial"/>
          <w:b/>
          <w:sz w:val="20"/>
        </w:rPr>
        <w:t xml:space="preserve">THOSE WHO MADE </w:t>
      </w:r>
      <w:r w:rsidR="003739AA" w:rsidRPr="00AB1652">
        <w:rPr>
          <w:rFonts w:cs="Arial"/>
          <w:b/>
          <w:sz w:val="20"/>
        </w:rPr>
        <w:t>COMPLAINTS</w:t>
      </w:r>
    </w:p>
    <w:p w:rsidR="00EF61B4" w:rsidRPr="00AB1652" w:rsidRDefault="00EF61B4" w:rsidP="00AB1D7D">
      <w:pPr>
        <w:ind w:left="720" w:hanging="720"/>
        <w:jc w:val="both"/>
        <w:rPr>
          <w:rFonts w:cs="Arial"/>
          <w:sz w:val="20"/>
        </w:rPr>
      </w:pPr>
    </w:p>
    <w:p w:rsidR="001A7E75" w:rsidRPr="00AB1652" w:rsidRDefault="00EF61B4" w:rsidP="00EF61B4">
      <w:pPr>
        <w:ind w:left="720"/>
        <w:jc w:val="both"/>
        <w:rPr>
          <w:rFonts w:cs="Arial"/>
          <w:sz w:val="20"/>
        </w:rPr>
      </w:pPr>
      <w:r w:rsidRPr="00AB1652">
        <w:rPr>
          <w:rFonts w:cs="Arial"/>
          <w:noProof/>
          <w:sz w:val="20"/>
        </w:rPr>
        <w:drawing>
          <wp:inline distT="0" distB="0" distL="0" distR="0" wp14:anchorId="3FE66383" wp14:editId="0484609A">
            <wp:extent cx="5314950" cy="329565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B1D7D" w:rsidRPr="00AB1652" w:rsidRDefault="00AB1D7D" w:rsidP="007F778A">
      <w:pPr>
        <w:ind w:left="1440" w:hanging="720"/>
        <w:jc w:val="both"/>
        <w:rPr>
          <w:rFonts w:cs="Arial"/>
          <w:sz w:val="20"/>
        </w:rPr>
      </w:pPr>
    </w:p>
    <w:p w:rsidR="003A6EF9" w:rsidRPr="00AB1652" w:rsidRDefault="00102CFA" w:rsidP="00A3019D">
      <w:pPr>
        <w:ind w:left="720"/>
        <w:jc w:val="both"/>
        <w:rPr>
          <w:rFonts w:cs="Arial"/>
          <w:sz w:val="20"/>
        </w:rPr>
      </w:pPr>
      <w:r>
        <w:rPr>
          <w:rFonts w:cs="Arial"/>
          <w:sz w:val="20"/>
        </w:rPr>
        <w:t>We will review the availability of complaints leaflets in offices and check that the information on the website about making a complaint remains prominent and clear.</w:t>
      </w:r>
    </w:p>
    <w:p w:rsidR="0069732D" w:rsidRDefault="0069732D" w:rsidP="00A3019D">
      <w:pPr>
        <w:ind w:left="720"/>
        <w:jc w:val="both"/>
        <w:rPr>
          <w:rFonts w:cs="Arial"/>
          <w:sz w:val="20"/>
        </w:rPr>
      </w:pPr>
    </w:p>
    <w:p w:rsidR="006C6D78" w:rsidRPr="00AB1652" w:rsidRDefault="006C6D78" w:rsidP="00A3019D">
      <w:pPr>
        <w:ind w:left="720"/>
        <w:jc w:val="both"/>
        <w:rPr>
          <w:rFonts w:cs="Arial"/>
          <w:sz w:val="20"/>
        </w:rPr>
      </w:pPr>
    </w:p>
    <w:p w:rsidR="00036786" w:rsidRPr="00AB1652" w:rsidRDefault="00036786" w:rsidP="00A3019D">
      <w:pPr>
        <w:ind w:left="720"/>
        <w:jc w:val="both"/>
        <w:rPr>
          <w:rFonts w:cs="Arial"/>
          <w:sz w:val="20"/>
        </w:rPr>
      </w:pPr>
    </w:p>
    <w:p w:rsidR="003A6EF9" w:rsidRPr="00AB1652" w:rsidRDefault="00D56EED" w:rsidP="00254DB4">
      <w:pPr>
        <w:ind w:left="720"/>
        <w:jc w:val="both"/>
        <w:rPr>
          <w:rFonts w:cs="Arial"/>
          <w:sz w:val="20"/>
        </w:rPr>
      </w:pPr>
      <w:r w:rsidRPr="00AB1652">
        <w:rPr>
          <w:rFonts w:cs="Arial"/>
          <w:noProof/>
          <w:sz w:val="20"/>
        </w:rPr>
        <w:drawing>
          <wp:inline distT="0" distB="0" distL="0" distR="0" wp14:anchorId="657A9669" wp14:editId="2AE92944">
            <wp:extent cx="5400675" cy="377190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B1D7D" w:rsidRPr="00AB1652" w:rsidRDefault="00A3019D" w:rsidP="00D46DEF">
      <w:pPr>
        <w:ind w:firstLine="720"/>
        <w:jc w:val="both"/>
        <w:rPr>
          <w:rFonts w:cs="Arial"/>
          <w:sz w:val="20"/>
        </w:rPr>
      </w:pPr>
      <w:r w:rsidRPr="00AB1652">
        <w:rPr>
          <w:rFonts w:cs="Arial"/>
          <w:noProof/>
          <w:sz w:val="20"/>
        </w:rPr>
        <w:lastRenderedPageBreak/>
        <w:drawing>
          <wp:inline distT="0" distB="0" distL="0" distR="0" wp14:anchorId="4DE0D77D" wp14:editId="45B7C2AE">
            <wp:extent cx="5476875" cy="30194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B1D7D" w:rsidRPr="00AB1652" w:rsidRDefault="00AB1D7D" w:rsidP="007F778A">
      <w:pPr>
        <w:ind w:left="1440" w:hanging="720"/>
        <w:jc w:val="both"/>
        <w:rPr>
          <w:rFonts w:cs="Arial"/>
          <w:sz w:val="20"/>
        </w:rPr>
      </w:pPr>
    </w:p>
    <w:p w:rsidR="00286A70" w:rsidRPr="00AB1652" w:rsidRDefault="006446B2" w:rsidP="007F778A">
      <w:pPr>
        <w:ind w:left="720"/>
        <w:jc w:val="both"/>
        <w:rPr>
          <w:rFonts w:cs="Arial"/>
          <w:sz w:val="20"/>
        </w:rPr>
      </w:pPr>
      <w:r w:rsidRPr="00AB1652">
        <w:rPr>
          <w:rFonts w:cs="Arial"/>
          <w:sz w:val="20"/>
        </w:rPr>
        <w:t>C</w:t>
      </w:r>
      <w:r w:rsidR="006F0973" w:rsidRPr="00AB1652">
        <w:rPr>
          <w:rFonts w:cs="Arial"/>
          <w:sz w:val="20"/>
        </w:rPr>
        <w:t xml:space="preserve">hief officers have been asked to continue to </w:t>
      </w:r>
      <w:r w:rsidR="00D82673" w:rsidRPr="00AB1652">
        <w:rPr>
          <w:rFonts w:cs="Arial"/>
          <w:sz w:val="20"/>
        </w:rPr>
        <w:t>reinforce to officers the importance of dealing with complaints as quickly as possible, and explaining to custome</w:t>
      </w:r>
      <w:r w:rsidR="00C823D1">
        <w:rPr>
          <w:rFonts w:cs="Arial"/>
          <w:sz w:val="20"/>
        </w:rPr>
        <w:t>rs where this is not possible.</w:t>
      </w:r>
    </w:p>
    <w:p w:rsidR="00286A70" w:rsidRPr="00AB1652" w:rsidRDefault="00286A70" w:rsidP="007F778A">
      <w:pPr>
        <w:ind w:left="1440" w:hanging="720"/>
        <w:jc w:val="both"/>
        <w:rPr>
          <w:rFonts w:cs="Arial"/>
          <w:sz w:val="20"/>
        </w:rPr>
      </w:pPr>
    </w:p>
    <w:p w:rsidR="00036786" w:rsidRDefault="00036786" w:rsidP="007F778A">
      <w:pPr>
        <w:ind w:left="1440" w:hanging="720"/>
        <w:jc w:val="both"/>
        <w:rPr>
          <w:rFonts w:cs="Arial"/>
          <w:sz w:val="20"/>
        </w:rPr>
      </w:pPr>
    </w:p>
    <w:p w:rsidR="006C6D78" w:rsidRDefault="006C6D78" w:rsidP="007F778A">
      <w:pPr>
        <w:ind w:left="1440" w:hanging="720"/>
        <w:jc w:val="both"/>
        <w:rPr>
          <w:rFonts w:cs="Arial"/>
          <w:sz w:val="20"/>
        </w:rPr>
      </w:pPr>
    </w:p>
    <w:p w:rsidR="006C6D78" w:rsidRDefault="006C6D78" w:rsidP="007F778A">
      <w:pPr>
        <w:ind w:left="1440" w:hanging="720"/>
        <w:jc w:val="both"/>
        <w:rPr>
          <w:rFonts w:cs="Arial"/>
          <w:sz w:val="20"/>
        </w:rPr>
      </w:pPr>
    </w:p>
    <w:p w:rsidR="006C6D78" w:rsidRPr="00AB1652" w:rsidRDefault="006C6D78" w:rsidP="007F778A">
      <w:pPr>
        <w:ind w:left="1440" w:hanging="720"/>
        <w:jc w:val="both"/>
        <w:rPr>
          <w:rFonts w:cs="Arial"/>
          <w:sz w:val="20"/>
        </w:rPr>
      </w:pPr>
    </w:p>
    <w:p w:rsidR="00AB1D7D" w:rsidRPr="00AB1652" w:rsidRDefault="00EE2154" w:rsidP="00D82673">
      <w:pPr>
        <w:ind w:firstLine="720"/>
        <w:jc w:val="both"/>
        <w:rPr>
          <w:rFonts w:cs="Arial"/>
          <w:sz w:val="20"/>
        </w:rPr>
      </w:pPr>
      <w:r w:rsidRPr="00AB1652">
        <w:rPr>
          <w:rFonts w:cs="Arial"/>
          <w:noProof/>
          <w:sz w:val="20"/>
        </w:rPr>
        <w:drawing>
          <wp:inline distT="0" distB="0" distL="0" distR="0" wp14:anchorId="35B4791C" wp14:editId="6796F03A">
            <wp:extent cx="5476875" cy="32004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B1D7D" w:rsidRPr="00AB1652" w:rsidRDefault="00AB1D7D" w:rsidP="007F778A">
      <w:pPr>
        <w:ind w:left="1440" w:hanging="720"/>
        <w:jc w:val="both"/>
        <w:rPr>
          <w:rFonts w:cs="Arial"/>
          <w:sz w:val="20"/>
        </w:rPr>
      </w:pPr>
    </w:p>
    <w:p w:rsidR="00F3734B" w:rsidRPr="00AB1652" w:rsidRDefault="006F0973" w:rsidP="007F778A">
      <w:pPr>
        <w:ind w:left="720"/>
        <w:jc w:val="both"/>
        <w:rPr>
          <w:rFonts w:cs="Arial"/>
          <w:sz w:val="20"/>
        </w:rPr>
      </w:pPr>
      <w:r w:rsidRPr="00AB1652">
        <w:rPr>
          <w:rFonts w:cs="Arial"/>
          <w:sz w:val="20"/>
        </w:rPr>
        <w:t xml:space="preserve">Chief </w:t>
      </w:r>
      <w:r w:rsidR="00BE15CA" w:rsidRPr="00AB1652">
        <w:rPr>
          <w:rFonts w:cs="Arial"/>
          <w:sz w:val="20"/>
        </w:rPr>
        <w:t>Officers</w:t>
      </w:r>
      <w:r w:rsidRPr="00AB1652">
        <w:rPr>
          <w:rFonts w:cs="Arial"/>
          <w:sz w:val="20"/>
        </w:rPr>
        <w:t xml:space="preserve"> have been asked to reinforce</w:t>
      </w:r>
      <w:r w:rsidR="00F3734B" w:rsidRPr="00AB1652">
        <w:rPr>
          <w:rFonts w:cs="Arial"/>
          <w:sz w:val="20"/>
        </w:rPr>
        <w:t xml:space="preserve"> to staff the importance of keeping complainants up-to-date with progress on complaints which take longer than the target number of days to resolve.</w:t>
      </w:r>
    </w:p>
    <w:p w:rsidR="00C823D1" w:rsidRDefault="00C823D1">
      <w:pPr>
        <w:rPr>
          <w:rFonts w:cs="Arial"/>
          <w:sz w:val="20"/>
        </w:rPr>
      </w:pPr>
      <w:r>
        <w:rPr>
          <w:rFonts w:cs="Arial"/>
          <w:sz w:val="20"/>
        </w:rPr>
        <w:br w:type="page"/>
      </w:r>
    </w:p>
    <w:p w:rsidR="00F3734B" w:rsidRPr="00AB1652" w:rsidRDefault="00F3734B" w:rsidP="007F778A">
      <w:pPr>
        <w:ind w:left="1440" w:hanging="720"/>
        <w:jc w:val="both"/>
        <w:rPr>
          <w:rFonts w:cs="Arial"/>
          <w:sz w:val="20"/>
        </w:rPr>
      </w:pPr>
    </w:p>
    <w:p w:rsidR="00AB1D7D" w:rsidRPr="00AB1652" w:rsidRDefault="00EE2154" w:rsidP="00D82673">
      <w:pPr>
        <w:ind w:firstLine="720"/>
        <w:jc w:val="both"/>
        <w:rPr>
          <w:rFonts w:cs="Arial"/>
          <w:sz w:val="20"/>
        </w:rPr>
      </w:pPr>
      <w:r w:rsidRPr="00AB1652">
        <w:rPr>
          <w:rFonts w:cs="Arial"/>
          <w:noProof/>
          <w:sz w:val="20"/>
        </w:rPr>
        <w:drawing>
          <wp:inline distT="0" distB="0" distL="0" distR="0" wp14:anchorId="248ABEBC" wp14:editId="79C3E7B8">
            <wp:extent cx="5505450" cy="28956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E2154" w:rsidRPr="00AB1652" w:rsidRDefault="00EE2154" w:rsidP="007F778A">
      <w:pPr>
        <w:ind w:left="1440" w:hanging="720"/>
        <w:jc w:val="both"/>
        <w:rPr>
          <w:rFonts w:cs="Arial"/>
          <w:sz w:val="20"/>
        </w:rPr>
      </w:pPr>
    </w:p>
    <w:p w:rsidR="00286A70" w:rsidRPr="00AB1652" w:rsidRDefault="006446B2" w:rsidP="007F778A">
      <w:pPr>
        <w:ind w:left="720"/>
        <w:jc w:val="both"/>
        <w:rPr>
          <w:rFonts w:cs="Arial"/>
          <w:sz w:val="20"/>
        </w:rPr>
      </w:pPr>
      <w:r w:rsidRPr="00AB1652">
        <w:rPr>
          <w:rFonts w:cs="Arial"/>
          <w:sz w:val="20"/>
        </w:rPr>
        <w:t>W</w:t>
      </w:r>
      <w:r w:rsidR="006F0973" w:rsidRPr="00AB1652">
        <w:rPr>
          <w:rFonts w:cs="Arial"/>
          <w:sz w:val="20"/>
        </w:rPr>
        <w:t>e</w:t>
      </w:r>
      <w:r w:rsidR="00286A70" w:rsidRPr="00AB1652">
        <w:rPr>
          <w:rFonts w:cs="Arial"/>
          <w:sz w:val="20"/>
        </w:rPr>
        <w:t xml:space="preserve"> continually reinforce to staff the importance of </w:t>
      </w:r>
      <w:r w:rsidR="00F3734B" w:rsidRPr="00AB1652">
        <w:rPr>
          <w:rFonts w:cs="Arial"/>
          <w:sz w:val="20"/>
        </w:rPr>
        <w:t xml:space="preserve">using </w:t>
      </w:r>
      <w:r w:rsidR="00286A70" w:rsidRPr="00AB1652">
        <w:rPr>
          <w:rFonts w:cs="Arial"/>
          <w:sz w:val="20"/>
        </w:rPr>
        <w:t>plain English and techniques such as bullet points, headings etc to make complex explanations easier to read and understand.</w:t>
      </w:r>
    </w:p>
    <w:p w:rsidR="00EE2154" w:rsidRPr="00AB1652" w:rsidRDefault="00EE2154" w:rsidP="007F778A">
      <w:pPr>
        <w:ind w:left="1440" w:hanging="720"/>
        <w:jc w:val="both"/>
        <w:rPr>
          <w:rFonts w:cs="Arial"/>
          <w:sz w:val="20"/>
        </w:rPr>
      </w:pPr>
    </w:p>
    <w:p w:rsidR="0069732D" w:rsidRPr="00AB1652" w:rsidRDefault="0069732D" w:rsidP="007F778A">
      <w:pPr>
        <w:ind w:left="1440" w:hanging="720"/>
        <w:jc w:val="both"/>
        <w:rPr>
          <w:rFonts w:cs="Arial"/>
          <w:sz w:val="20"/>
        </w:rPr>
      </w:pPr>
    </w:p>
    <w:p w:rsidR="00036786" w:rsidRPr="00AB1652" w:rsidRDefault="00036786" w:rsidP="007F778A">
      <w:pPr>
        <w:ind w:left="1440" w:hanging="720"/>
        <w:jc w:val="both"/>
        <w:rPr>
          <w:rFonts w:cs="Arial"/>
          <w:sz w:val="20"/>
        </w:rPr>
      </w:pPr>
    </w:p>
    <w:p w:rsidR="0069732D" w:rsidRPr="00AB1652" w:rsidRDefault="0069732D" w:rsidP="007F778A">
      <w:pPr>
        <w:ind w:left="1440" w:hanging="720"/>
        <w:jc w:val="both"/>
        <w:rPr>
          <w:rFonts w:cs="Arial"/>
          <w:sz w:val="20"/>
        </w:rPr>
      </w:pPr>
    </w:p>
    <w:p w:rsidR="00036786" w:rsidRPr="00AB1652" w:rsidRDefault="00036786" w:rsidP="007F778A">
      <w:pPr>
        <w:ind w:left="1440" w:hanging="720"/>
        <w:jc w:val="both"/>
        <w:rPr>
          <w:rFonts w:cs="Arial"/>
          <w:sz w:val="20"/>
        </w:rPr>
      </w:pPr>
    </w:p>
    <w:p w:rsidR="00EE2154" w:rsidRPr="00AB1652" w:rsidRDefault="00EE2154" w:rsidP="00894AFC">
      <w:pPr>
        <w:ind w:left="720"/>
        <w:jc w:val="both"/>
        <w:rPr>
          <w:rFonts w:cs="Arial"/>
          <w:sz w:val="20"/>
        </w:rPr>
      </w:pPr>
      <w:r w:rsidRPr="00AB1652">
        <w:rPr>
          <w:rFonts w:cs="Arial"/>
          <w:noProof/>
          <w:sz w:val="20"/>
        </w:rPr>
        <w:drawing>
          <wp:inline distT="0" distB="0" distL="0" distR="0" wp14:anchorId="6B9D6B3D" wp14:editId="1127E47F">
            <wp:extent cx="5505450" cy="30003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E2154" w:rsidRPr="00AB1652" w:rsidRDefault="00EE2154" w:rsidP="007F778A">
      <w:pPr>
        <w:ind w:left="1440" w:hanging="720"/>
        <w:jc w:val="both"/>
        <w:rPr>
          <w:rFonts w:cs="Arial"/>
          <w:sz w:val="20"/>
        </w:rPr>
      </w:pPr>
    </w:p>
    <w:p w:rsidR="00EE2154" w:rsidRPr="00AB1652" w:rsidRDefault="006446B2" w:rsidP="007F778A">
      <w:pPr>
        <w:ind w:left="720"/>
        <w:jc w:val="both"/>
        <w:rPr>
          <w:rFonts w:cs="Arial"/>
          <w:sz w:val="20"/>
        </w:rPr>
      </w:pPr>
      <w:r w:rsidRPr="00AB1652">
        <w:rPr>
          <w:rFonts w:cs="Arial"/>
          <w:sz w:val="20"/>
        </w:rPr>
        <w:t>It</w:t>
      </w:r>
      <w:r w:rsidR="00ED7226" w:rsidRPr="00AB1652">
        <w:rPr>
          <w:rFonts w:cs="Arial"/>
          <w:sz w:val="20"/>
        </w:rPr>
        <w:t xml:space="preserve"> should be clear to all complain</w:t>
      </w:r>
      <w:r w:rsidR="006F0973" w:rsidRPr="00AB1652">
        <w:rPr>
          <w:rFonts w:cs="Arial"/>
          <w:sz w:val="20"/>
        </w:rPr>
        <w:t>an</w:t>
      </w:r>
      <w:r w:rsidR="00ED7226" w:rsidRPr="00AB1652">
        <w:rPr>
          <w:rFonts w:cs="Arial"/>
          <w:sz w:val="20"/>
        </w:rPr>
        <w:t>ts who to contact</w:t>
      </w:r>
      <w:r w:rsidR="00114424" w:rsidRPr="00AB1652">
        <w:rPr>
          <w:rFonts w:cs="Arial"/>
          <w:sz w:val="20"/>
        </w:rPr>
        <w:t xml:space="preserve"> in every case</w:t>
      </w:r>
      <w:r w:rsidR="00ED7226" w:rsidRPr="00AB1652">
        <w:rPr>
          <w:rFonts w:cs="Arial"/>
          <w:sz w:val="20"/>
        </w:rPr>
        <w:t xml:space="preserve">.  </w:t>
      </w:r>
      <w:r w:rsidR="006F0973" w:rsidRPr="00AB1652">
        <w:rPr>
          <w:rFonts w:cs="Arial"/>
          <w:sz w:val="20"/>
        </w:rPr>
        <w:t>We continue to reinforce</w:t>
      </w:r>
      <w:r w:rsidR="00B67331" w:rsidRPr="00AB1652">
        <w:rPr>
          <w:rFonts w:cs="Arial"/>
          <w:sz w:val="20"/>
        </w:rPr>
        <w:t xml:space="preserve"> the importance of telling complainants who to contact if dissatisfied with</w:t>
      </w:r>
      <w:r w:rsidRPr="00AB1652">
        <w:rPr>
          <w:rFonts w:cs="Arial"/>
          <w:sz w:val="20"/>
        </w:rPr>
        <w:t xml:space="preserve"> a response, and to monitor a sample of cases to check this is being done.</w:t>
      </w:r>
    </w:p>
    <w:p w:rsidR="00A5032D" w:rsidRDefault="00A5032D">
      <w:pPr>
        <w:rPr>
          <w:rFonts w:cs="Arial"/>
          <w:sz w:val="20"/>
        </w:rPr>
      </w:pPr>
      <w:r>
        <w:rPr>
          <w:rFonts w:cs="Arial"/>
          <w:sz w:val="20"/>
        </w:rPr>
        <w:br w:type="page"/>
      </w:r>
    </w:p>
    <w:p w:rsidR="00B67331" w:rsidRPr="00AB1652" w:rsidRDefault="00B67331" w:rsidP="007F778A">
      <w:pPr>
        <w:ind w:left="1440" w:hanging="720"/>
        <w:jc w:val="both"/>
        <w:rPr>
          <w:rFonts w:cs="Arial"/>
          <w:sz w:val="20"/>
        </w:rPr>
      </w:pPr>
    </w:p>
    <w:p w:rsidR="006446B2" w:rsidRPr="00AB1652" w:rsidRDefault="006446B2" w:rsidP="007F778A">
      <w:pPr>
        <w:ind w:left="1440" w:hanging="720"/>
        <w:jc w:val="both"/>
        <w:rPr>
          <w:rFonts w:cs="Arial"/>
          <w:sz w:val="20"/>
        </w:rPr>
      </w:pPr>
      <w:r w:rsidRPr="00AB1652">
        <w:rPr>
          <w:rFonts w:cs="Arial"/>
          <w:noProof/>
          <w:sz w:val="20"/>
        </w:rPr>
        <w:drawing>
          <wp:inline distT="0" distB="0" distL="0" distR="0" wp14:anchorId="0FE18F70" wp14:editId="5B48814B">
            <wp:extent cx="5476875" cy="3009900"/>
            <wp:effectExtent l="0" t="0" r="9525"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446B2" w:rsidRPr="00AB1652" w:rsidRDefault="006446B2" w:rsidP="007F778A">
      <w:pPr>
        <w:ind w:left="1440" w:hanging="720"/>
        <w:jc w:val="both"/>
        <w:rPr>
          <w:rFonts w:cs="Arial"/>
          <w:sz w:val="20"/>
        </w:rPr>
      </w:pPr>
    </w:p>
    <w:p w:rsidR="00286A70" w:rsidRPr="00AB1652" w:rsidRDefault="00240B73" w:rsidP="007F778A">
      <w:pPr>
        <w:ind w:left="720"/>
        <w:jc w:val="both"/>
        <w:rPr>
          <w:rFonts w:cs="Arial"/>
          <w:sz w:val="20"/>
        </w:rPr>
      </w:pPr>
      <w:r>
        <w:rPr>
          <w:rFonts w:cs="Arial"/>
          <w:sz w:val="20"/>
        </w:rPr>
        <w:t>A third</w:t>
      </w:r>
      <w:r w:rsidR="006446B2" w:rsidRPr="00AB1652">
        <w:rPr>
          <w:rFonts w:cs="Arial"/>
          <w:sz w:val="20"/>
        </w:rPr>
        <w:t xml:space="preserve"> of respondents in the latest survey said they were ‘very dissatisfied’ that their complaint had been taken seriously.  Although based on a small sample</w:t>
      </w:r>
      <w:r w:rsidR="00AB2B49" w:rsidRPr="00AB1652">
        <w:rPr>
          <w:rFonts w:cs="Arial"/>
          <w:sz w:val="20"/>
        </w:rPr>
        <w:t xml:space="preserve">, </w:t>
      </w:r>
      <w:r w:rsidR="006446B2" w:rsidRPr="00AB1652">
        <w:rPr>
          <w:rFonts w:cs="Arial"/>
          <w:sz w:val="20"/>
        </w:rPr>
        <w:t xml:space="preserve">this </w:t>
      </w:r>
      <w:r w:rsidR="00ED7226" w:rsidRPr="00AB1652">
        <w:rPr>
          <w:rFonts w:cs="Arial"/>
          <w:sz w:val="20"/>
        </w:rPr>
        <w:t xml:space="preserve">suggests </w:t>
      </w:r>
      <w:r w:rsidR="00114424" w:rsidRPr="00AB1652">
        <w:rPr>
          <w:rFonts w:cs="Arial"/>
          <w:sz w:val="20"/>
        </w:rPr>
        <w:t xml:space="preserve">that </w:t>
      </w:r>
      <w:r w:rsidR="00ED7226" w:rsidRPr="00AB1652">
        <w:rPr>
          <w:rFonts w:cs="Arial"/>
          <w:sz w:val="20"/>
        </w:rPr>
        <w:t>we still need to make more effort to assure complainants that their concerns</w:t>
      </w:r>
      <w:r w:rsidR="0048469E" w:rsidRPr="00AB1652">
        <w:rPr>
          <w:rFonts w:cs="Arial"/>
          <w:sz w:val="20"/>
        </w:rPr>
        <w:t xml:space="preserve"> have been taken seriously even</w:t>
      </w:r>
      <w:r w:rsidR="00ED7226" w:rsidRPr="00AB1652">
        <w:rPr>
          <w:rFonts w:cs="Arial"/>
          <w:sz w:val="20"/>
        </w:rPr>
        <w:t xml:space="preserve"> where the</w:t>
      </w:r>
      <w:r w:rsidR="00114424" w:rsidRPr="00AB1652">
        <w:rPr>
          <w:rFonts w:cs="Arial"/>
          <w:sz w:val="20"/>
        </w:rPr>
        <w:t>ir</w:t>
      </w:r>
      <w:r w:rsidR="00ED7226" w:rsidRPr="00AB1652">
        <w:rPr>
          <w:rFonts w:cs="Arial"/>
          <w:sz w:val="20"/>
        </w:rPr>
        <w:t xml:space="preserve"> complaint is not upheld.</w:t>
      </w:r>
    </w:p>
    <w:p w:rsidR="00D82673" w:rsidRPr="00AB1652" w:rsidRDefault="00D82673" w:rsidP="007F778A">
      <w:pPr>
        <w:ind w:left="1440" w:hanging="720"/>
        <w:jc w:val="both"/>
        <w:rPr>
          <w:rFonts w:cs="Arial"/>
          <w:sz w:val="20"/>
        </w:rPr>
      </w:pPr>
    </w:p>
    <w:p w:rsidR="0069732D" w:rsidRPr="00AB1652" w:rsidRDefault="0069732D" w:rsidP="007F778A">
      <w:pPr>
        <w:ind w:left="1440" w:hanging="720"/>
        <w:jc w:val="both"/>
        <w:rPr>
          <w:rFonts w:cs="Arial"/>
          <w:sz w:val="20"/>
        </w:rPr>
      </w:pPr>
    </w:p>
    <w:p w:rsidR="0069732D" w:rsidRPr="00AB1652" w:rsidRDefault="0069732D" w:rsidP="007F778A">
      <w:pPr>
        <w:ind w:left="1440" w:hanging="720"/>
        <w:jc w:val="both"/>
        <w:rPr>
          <w:rFonts w:cs="Arial"/>
          <w:sz w:val="20"/>
        </w:rPr>
      </w:pPr>
    </w:p>
    <w:p w:rsidR="00036786" w:rsidRPr="00AB1652" w:rsidRDefault="00036786" w:rsidP="007F778A">
      <w:pPr>
        <w:ind w:left="1440" w:hanging="720"/>
        <w:jc w:val="both"/>
        <w:rPr>
          <w:rFonts w:cs="Arial"/>
          <w:sz w:val="20"/>
        </w:rPr>
      </w:pPr>
    </w:p>
    <w:p w:rsidR="00894AFC" w:rsidRPr="00AB1652" w:rsidRDefault="00894AFC" w:rsidP="00D82673">
      <w:pPr>
        <w:ind w:firstLine="720"/>
        <w:jc w:val="both"/>
        <w:rPr>
          <w:rFonts w:cs="Arial"/>
          <w:sz w:val="20"/>
        </w:rPr>
      </w:pPr>
      <w:r w:rsidRPr="00AB1652">
        <w:rPr>
          <w:rFonts w:cs="Arial"/>
          <w:noProof/>
          <w:sz w:val="20"/>
        </w:rPr>
        <w:drawing>
          <wp:inline distT="0" distB="0" distL="0" distR="0" wp14:anchorId="2FB24AC5" wp14:editId="65EB2CCC">
            <wp:extent cx="5524500" cy="3086100"/>
            <wp:effectExtent l="0" t="0" r="0" b="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4AFC" w:rsidRPr="00AB1652" w:rsidRDefault="00894AFC" w:rsidP="007F778A">
      <w:pPr>
        <w:ind w:left="1440" w:hanging="720"/>
        <w:jc w:val="both"/>
        <w:rPr>
          <w:rFonts w:cs="Arial"/>
          <w:sz w:val="20"/>
        </w:rPr>
      </w:pPr>
    </w:p>
    <w:p w:rsidR="00F3734B" w:rsidRPr="00AB1652" w:rsidRDefault="006C6D78" w:rsidP="007F778A">
      <w:pPr>
        <w:ind w:left="720"/>
        <w:jc w:val="both"/>
        <w:rPr>
          <w:rFonts w:cs="Arial"/>
          <w:sz w:val="20"/>
        </w:rPr>
      </w:pPr>
      <w:r>
        <w:rPr>
          <w:rFonts w:cs="Arial"/>
          <w:sz w:val="20"/>
        </w:rPr>
        <w:t>W</w:t>
      </w:r>
      <w:r w:rsidR="00AB2B49" w:rsidRPr="00AB1652">
        <w:rPr>
          <w:rFonts w:cs="Arial"/>
          <w:sz w:val="20"/>
        </w:rPr>
        <w:t>e</w:t>
      </w:r>
      <w:r w:rsidR="006446B2" w:rsidRPr="00AB1652">
        <w:rPr>
          <w:rFonts w:cs="Arial"/>
          <w:sz w:val="20"/>
        </w:rPr>
        <w:t xml:space="preserve"> </w:t>
      </w:r>
      <w:r>
        <w:rPr>
          <w:rFonts w:cs="Arial"/>
          <w:sz w:val="20"/>
        </w:rPr>
        <w:t>will</w:t>
      </w:r>
      <w:r w:rsidR="00114424" w:rsidRPr="00AB1652">
        <w:rPr>
          <w:rFonts w:cs="Arial"/>
          <w:sz w:val="20"/>
        </w:rPr>
        <w:t xml:space="preserve"> </w:t>
      </w:r>
      <w:r w:rsidR="0048469E" w:rsidRPr="00AB1652">
        <w:rPr>
          <w:rFonts w:cs="Arial"/>
          <w:sz w:val="20"/>
        </w:rPr>
        <w:t>continue</w:t>
      </w:r>
      <w:r w:rsidR="00F3734B" w:rsidRPr="00AB1652">
        <w:rPr>
          <w:rFonts w:cs="Arial"/>
          <w:sz w:val="20"/>
        </w:rPr>
        <w:t xml:space="preserve"> </w:t>
      </w:r>
      <w:r w:rsidR="0048469E" w:rsidRPr="00AB1652">
        <w:rPr>
          <w:rFonts w:cs="Arial"/>
          <w:sz w:val="20"/>
        </w:rPr>
        <w:t xml:space="preserve">to </w:t>
      </w:r>
      <w:r w:rsidR="00F3734B" w:rsidRPr="00AB1652">
        <w:rPr>
          <w:rFonts w:cs="Arial"/>
          <w:sz w:val="20"/>
        </w:rPr>
        <w:t>emphasise to staff the importance of clearly ex</w:t>
      </w:r>
      <w:r w:rsidR="00ED7D60" w:rsidRPr="00AB1652">
        <w:rPr>
          <w:rFonts w:cs="Arial"/>
          <w:sz w:val="20"/>
        </w:rPr>
        <w:t>plaining decisions on complaint</w:t>
      </w:r>
      <w:r w:rsidR="006446B2" w:rsidRPr="00AB1652">
        <w:rPr>
          <w:rFonts w:cs="Arial"/>
          <w:sz w:val="20"/>
        </w:rPr>
        <w:t>s</w:t>
      </w:r>
      <w:r>
        <w:rPr>
          <w:rFonts w:cs="Arial"/>
          <w:sz w:val="20"/>
        </w:rPr>
        <w:t>, although it is acknowledged that this result will be affected by people's feelings on the outcome of their complaint.</w:t>
      </w:r>
    </w:p>
    <w:p w:rsidR="00ED7D60" w:rsidRPr="00AB1652" w:rsidRDefault="00ED7D60" w:rsidP="007F778A">
      <w:pPr>
        <w:ind w:left="1440" w:hanging="720"/>
        <w:rPr>
          <w:rFonts w:cs="Arial"/>
          <w:sz w:val="20"/>
        </w:rPr>
      </w:pPr>
    </w:p>
    <w:sectPr w:rsidR="00ED7D60" w:rsidRPr="00AB1652" w:rsidSect="00457F43">
      <w:headerReference w:type="default" r:id="rId26"/>
      <w:pgSz w:w="11906" w:h="16838" w:code="9"/>
      <w:pgMar w:top="862" w:right="1298" w:bottom="862" w:left="1298" w:header="720" w:footer="720" w:gutter="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3B25" w:rsidRDefault="002C3B25">
      <w:r>
        <w:separator/>
      </w:r>
    </w:p>
  </w:endnote>
  <w:endnote w:type="continuationSeparator" w:id="0">
    <w:p w:rsidR="002C3B25" w:rsidRDefault="002C3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8A" w:rsidRPr="00FC2378" w:rsidRDefault="00E6538A" w:rsidP="00FC2378">
    <w:pPr>
      <w:pStyle w:val="Footer"/>
    </w:pPr>
    <w:r>
      <w:rPr>
        <w:noProof/>
      </w:rPr>
      <w:fldChar w:fldCharType="begin"/>
    </w:r>
    <w:r>
      <w:rPr>
        <w:noProof/>
      </w:rPr>
      <w:instrText xml:space="preserve"> FILENAME  \p  \* MERGEFORMAT </w:instrText>
    </w:r>
    <w:r>
      <w:rPr>
        <w:noProof/>
      </w:rPr>
      <w:fldChar w:fldCharType="separate"/>
    </w:r>
    <w:r w:rsidR="004052F1">
      <w:rPr>
        <w:noProof/>
      </w:rPr>
      <w:t>C:\Users\angie.gove\AppData\Roaming\OpenText\OTEdit\EC_cslive\c22036024\189-2019.docm</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3B25" w:rsidRDefault="002C3B25">
      <w:r>
        <w:separator/>
      </w:r>
    </w:p>
  </w:footnote>
  <w:footnote w:type="continuationSeparator" w:id="0">
    <w:p w:rsidR="002C3B25" w:rsidRDefault="002C3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38A" w:rsidRDefault="00E6538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538A" w:rsidRDefault="00E65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7600887"/>
      <w:docPartObj>
        <w:docPartGallery w:val="Page Numbers (Top of Page)"/>
        <w:docPartUnique/>
      </w:docPartObj>
    </w:sdtPr>
    <w:sdtEndPr>
      <w:rPr>
        <w:noProof/>
        <w:sz w:val="20"/>
      </w:rPr>
    </w:sdtEndPr>
    <w:sdtContent>
      <w:p w:rsidR="00E6538A" w:rsidRPr="002602E2" w:rsidRDefault="00E6538A">
        <w:pPr>
          <w:pStyle w:val="Header"/>
          <w:jc w:val="center"/>
          <w:rPr>
            <w:sz w:val="20"/>
          </w:rPr>
        </w:pPr>
        <w:r w:rsidRPr="002602E2">
          <w:rPr>
            <w:sz w:val="20"/>
          </w:rPr>
          <w:fldChar w:fldCharType="begin"/>
        </w:r>
        <w:r w:rsidRPr="002602E2">
          <w:rPr>
            <w:sz w:val="20"/>
          </w:rPr>
          <w:instrText xml:space="preserve"> PAGE   \* MERGEFORMAT </w:instrText>
        </w:r>
        <w:r w:rsidRPr="002602E2">
          <w:rPr>
            <w:sz w:val="20"/>
          </w:rPr>
          <w:fldChar w:fldCharType="separate"/>
        </w:r>
        <w:r w:rsidR="00DE0590">
          <w:rPr>
            <w:noProof/>
            <w:sz w:val="20"/>
          </w:rPr>
          <w:t>2</w:t>
        </w:r>
        <w:r w:rsidRPr="002602E2">
          <w:rPr>
            <w:noProof/>
            <w:sz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4210086"/>
      <w:docPartObj>
        <w:docPartGallery w:val="Page Numbers (Top of Page)"/>
        <w:docPartUnique/>
      </w:docPartObj>
    </w:sdtPr>
    <w:sdtEndPr>
      <w:rPr>
        <w:noProof/>
      </w:rPr>
    </w:sdtEndPr>
    <w:sdtContent>
      <w:p w:rsidR="00E6538A" w:rsidRDefault="00E6538A">
        <w:pPr>
          <w:pStyle w:val="Header"/>
          <w:jc w:val="center"/>
        </w:pPr>
        <w:r>
          <w:fldChar w:fldCharType="begin"/>
        </w:r>
        <w:r>
          <w:instrText xml:space="preserve"> PAGE   \* MERGEFORMAT </w:instrText>
        </w:r>
        <w:r>
          <w:fldChar w:fldCharType="separate"/>
        </w:r>
        <w:r w:rsidR="00DE0590">
          <w:rPr>
            <w:noProof/>
          </w:rPr>
          <w:t>21</w:t>
        </w:r>
        <w:r>
          <w:rPr>
            <w:noProof/>
          </w:rPr>
          <w:fldChar w:fldCharType="end"/>
        </w:r>
      </w:p>
    </w:sdtContent>
  </w:sdt>
  <w:p w:rsidR="00E6538A" w:rsidRDefault="00E653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7755A"/>
    <w:multiLevelType w:val="hybridMultilevel"/>
    <w:tmpl w:val="B65A2C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02EFD"/>
    <w:multiLevelType w:val="hybridMultilevel"/>
    <w:tmpl w:val="B0368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B54E1"/>
    <w:multiLevelType w:val="hybridMultilevel"/>
    <w:tmpl w:val="1FAA1B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2AF23B77"/>
    <w:multiLevelType w:val="hybridMultilevel"/>
    <w:tmpl w:val="B2923D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E397255"/>
    <w:multiLevelType w:val="hybridMultilevel"/>
    <w:tmpl w:val="087E2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B66398"/>
    <w:multiLevelType w:val="hybridMultilevel"/>
    <w:tmpl w:val="C2B88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100D1"/>
    <w:multiLevelType w:val="hybridMultilevel"/>
    <w:tmpl w:val="1F6AAC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0540EC"/>
    <w:multiLevelType w:val="hybridMultilevel"/>
    <w:tmpl w:val="D1843A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81132A7"/>
    <w:multiLevelType w:val="hybridMultilevel"/>
    <w:tmpl w:val="A89866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E224EC"/>
    <w:multiLevelType w:val="hybridMultilevel"/>
    <w:tmpl w:val="40963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6DE7348"/>
    <w:multiLevelType w:val="hybridMultilevel"/>
    <w:tmpl w:val="6CDCA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D1547E"/>
    <w:multiLevelType w:val="hybridMultilevel"/>
    <w:tmpl w:val="D6703D2A"/>
    <w:lvl w:ilvl="0" w:tplc="2782F64A">
      <w:start w:val="5"/>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9104217"/>
    <w:multiLevelType w:val="hybridMultilevel"/>
    <w:tmpl w:val="68F610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D125F79"/>
    <w:multiLevelType w:val="hybridMultilevel"/>
    <w:tmpl w:val="028401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214067D"/>
    <w:multiLevelType w:val="hybridMultilevel"/>
    <w:tmpl w:val="F3F6E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CF6115"/>
    <w:multiLevelType w:val="hybridMultilevel"/>
    <w:tmpl w:val="780AA476"/>
    <w:lvl w:ilvl="0" w:tplc="0FACB7EC">
      <w:start w:val="1"/>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2C7F9F"/>
    <w:multiLevelType w:val="hybridMultilevel"/>
    <w:tmpl w:val="A3465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C9F14CE"/>
    <w:multiLevelType w:val="hybridMultilevel"/>
    <w:tmpl w:val="A058E8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C66ABA"/>
    <w:multiLevelType w:val="hybridMultilevel"/>
    <w:tmpl w:val="A24234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F6773A"/>
    <w:multiLevelType w:val="hybridMultilevel"/>
    <w:tmpl w:val="B78867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064FF8"/>
    <w:multiLevelType w:val="hybridMultilevel"/>
    <w:tmpl w:val="89B8BA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6A284CCE"/>
    <w:multiLevelType w:val="hybridMultilevel"/>
    <w:tmpl w:val="5A7833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BC9494F"/>
    <w:multiLevelType w:val="hybridMultilevel"/>
    <w:tmpl w:val="3B0A4F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C843FB1"/>
    <w:multiLevelType w:val="hybridMultilevel"/>
    <w:tmpl w:val="79B81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D5522B3"/>
    <w:multiLevelType w:val="hybridMultilevel"/>
    <w:tmpl w:val="B68A69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F264C6E"/>
    <w:multiLevelType w:val="hybridMultilevel"/>
    <w:tmpl w:val="C5EED1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5EB1B00"/>
    <w:multiLevelType w:val="hybridMultilevel"/>
    <w:tmpl w:val="1A22ED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BA00C6C"/>
    <w:multiLevelType w:val="hybridMultilevel"/>
    <w:tmpl w:val="77B009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BFC531A"/>
    <w:multiLevelType w:val="hybridMultilevel"/>
    <w:tmpl w:val="97E0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20"/>
  </w:num>
  <w:num w:numId="5">
    <w:abstractNumId w:val="25"/>
  </w:num>
  <w:num w:numId="6">
    <w:abstractNumId w:val="22"/>
  </w:num>
  <w:num w:numId="7">
    <w:abstractNumId w:val="24"/>
  </w:num>
  <w:num w:numId="8">
    <w:abstractNumId w:val="16"/>
  </w:num>
  <w:num w:numId="9">
    <w:abstractNumId w:val="12"/>
  </w:num>
  <w:num w:numId="10">
    <w:abstractNumId w:val="7"/>
  </w:num>
  <w:num w:numId="11">
    <w:abstractNumId w:val="13"/>
  </w:num>
  <w:num w:numId="12">
    <w:abstractNumId w:val="23"/>
  </w:num>
  <w:num w:numId="13">
    <w:abstractNumId w:val="21"/>
  </w:num>
  <w:num w:numId="14">
    <w:abstractNumId w:val="19"/>
  </w:num>
  <w:num w:numId="15">
    <w:abstractNumId w:val="6"/>
  </w:num>
  <w:num w:numId="16">
    <w:abstractNumId w:val="0"/>
  </w:num>
  <w:num w:numId="17">
    <w:abstractNumId w:val="9"/>
  </w:num>
  <w:num w:numId="18">
    <w:abstractNumId w:val="18"/>
  </w:num>
  <w:num w:numId="19">
    <w:abstractNumId w:val="17"/>
  </w:num>
  <w:num w:numId="20">
    <w:abstractNumId w:val="27"/>
  </w:num>
  <w:num w:numId="21">
    <w:abstractNumId w:val="10"/>
  </w:num>
  <w:num w:numId="22">
    <w:abstractNumId w:val="15"/>
  </w:num>
  <w:num w:numId="23">
    <w:abstractNumId w:val="28"/>
  </w:num>
  <w:num w:numId="24">
    <w:abstractNumId w:val="2"/>
  </w:num>
  <w:num w:numId="25">
    <w:abstractNumId w:val="1"/>
  </w:num>
  <w:num w:numId="26">
    <w:abstractNumId w:val="26"/>
  </w:num>
  <w:num w:numId="27">
    <w:abstractNumId w:val="4"/>
  </w:num>
  <w:num w:numId="28">
    <w:abstractNumId w:val="5"/>
  </w:num>
  <w:num w:numId="29">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36"/>
    <w:rsid w:val="00002DB6"/>
    <w:rsid w:val="0000321C"/>
    <w:rsid w:val="000046F0"/>
    <w:rsid w:val="00005C3F"/>
    <w:rsid w:val="000127A5"/>
    <w:rsid w:val="000171A8"/>
    <w:rsid w:val="00017AAD"/>
    <w:rsid w:val="00022DD6"/>
    <w:rsid w:val="000270E2"/>
    <w:rsid w:val="00033184"/>
    <w:rsid w:val="00035CE8"/>
    <w:rsid w:val="00036786"/>
    <w:rsid w:val="00041707"/>
    <w:rsid w:val="00042A03"/>
    <w:rsid w:val="000518E5"/>
    <w:rsid w:val="00056265"/>
    <w:rsid w:val="00071694"/>
    <w:rsid w:val="00072CED"/>
    <w:rsid w:val="00074599"/>
    <w:rsid w:val="00076D0F"/>
    <w:rsid w:val="00083D42"/>
    <w:rsid w:val="00086E7D"/>
    <w:rsid w:val="000B07EB"/>
    <w:rsid w:val="000B2E57"/>
    <w:rsid w:val="000B5793"/>
    <w:rsid w:val="000B6965"/>
    <w:rsid w:val="000C006E"/>
    <w:rsid w:val="000C2C53"/>
    <w:rsid w:val="000D2280"/>
    <w:rsid w:val="000D2779"/>
    <w:rsid w:val="000D2A2D"/>
    <w:rsid w:val="000D54B0"/>
    <w:rsid w:val="000E187F"/>
    <w:rsid w:val="000E2AF5"/>
    <w:rsid w:val="000E5464"/>
    <w:rsid w:val="000F0389"/>
    <w:rsid w:val="000F0790"/>
    <w:rsid w:val="000F4600"/>
    <w:rsid w:val="000F5212"/>
    <w:rsid w:val="000F532F"/>
    <w:rsid w:val="00102CFA"/>
    <w:rsid w:val="00111799"/>
    <w:rsid w:val="00111CEF"/>
    <w:rsid w:val="00114424"/>
    <w:rsid w:val="00120532"/>
    <w:rsid w:val="00121A16"/>
    <w:rsid w:val="0012640A"/>
    <w:rsid w:val="0012774B"/>
    <w:rsid w:val="00134306"/>
    <w:rsid w:val="001359F2"/>
    <w:rsid w:val="00137001"/>
    <w:rsid w:val="00137359"/>
    <w:rsid w:val="001414ED"/>
    <w:rsid w:val="00145104"/>
    <w:rsid w:val="001462FD"/>
    <w:rsid w:val="00151F65"/>
    <w:rsid w:val="00165036"/>
    <w:rsid w:val="00166AE5"/>
    <w:rsid w:val="0017033B"/>
    <w:rsid w:val="001708F9"/>
    <w:rsid w:val="00170F8F"/>
    <w:rsid w:val="001813EE"/>
    <w:rsid w:val="001830B2"/>
    <w:rsid w:val="001835A6"/>
    <w:rsid w:val="00193A7C"/>
    <w:rsid w:val="001A14A3"/>
    <w:rsid w:val="001A7312"/>
    <w:rsid w:val="001A7E75"/>
    <w:rsid w:val="001B1A21"/>
    <w:rsid w:val="001B636E"/>
    <w:rsid w:val="001C13C1"/>
    <w:rsid w:val="001C3EF1"/>
    <w:rsid w:val="001C440C"/>
    <w:rsid w:val="001C49B2"/>
    <w:rsid w:val="001D045A"/>
    <w:rsid w:val="001D0CF8"/>
    <w:rsid w:val="001D1286"/>
    <w:rsid w:val="001D48F6"/>
    <w:rsid w:val="001E2A26"/>
    <w:rsid w:val="001E30BE"/>
    <w:rsid w:val="001F2A90"/>
    <w:rsid w:val="001F4C50"/>
    <w:rsid w:val="001F70F3"/>
    <w:rsid w:val="001F7F0E"/>
    <w:rsid w:val="00200968"/>
    <w:rsid w:val="00206292"/>
    <w:rsid w:val="002119C2"/>
    <w:rsid w:val="002127E3"/>
    <w:rsid w:val="00215BB6"/>
    <w:rsid w:val="00217BF7"/>
    <w:rsid w:val="00217D44"/>
    <w:rsid w:val="00221341"/>
    <w:rsid w:val="0022209F"/>
    <w:rsid w:val="00223CC5"/>
    <w:rsid w:val="00225CC9"/>
    <w:rsid w:val="0023131F"/>
    <w:rsid w:val="0023367C"/>
    <w:rsid w:val="00235679"/>
    <w:rsid w:val="00237387"/>
    <w:rsid w:val="0023750F"/>
    <w:rsid w:val="00240B73"/>
    <w:rsid w:val="002447F6"/>
    <w:rsid w:val="00246519"/>
    <w:rsid w:val="00250C6A"/>
    <w:rsid w:val="00254DB4"/>
    <w:rsid w:val="00254EAF"/>
    <w:rsid w:val="00257BAF"/>
    <w:rsid w:val="00260259"/>
    <w:rsid w:val="002602E2"/>
    <w:rsid w:val="00263402"/>
    <w:rsid w:val="0026753D"/>
    <w:rsid w:val="0027602A"/>
    <w:rsid w:val="0027625C"/>
    <w:rsid w:val="002803E4"/>
    <w:rsid w:val="002846A8"/>
    <w:rsid w:val="00286A70"/>
    <w:rsid w:val="002908C6"/>
    <w:rsid w:val="00293229"/>
    <w:rsid w:val="00297CF9"/>
    <w:rsid w:val="002A10E9"/>
    <w:rsid w:val="002A18B5"/>
    <w:rsid w:val="002A6031"/>
    <w:rsid w:val="002B36C7"/>
    <w:rsid w:val="002C3B25"/>
    <w:rsid w:val="002C4B3A"/>
    <w:rsid w:val="002C51FA"/>
    <w:rsid w:val="002C5F18"/>
    <w:rsid w:val="002D00DF"/>
    <w:rsid w:val="002E5E9F"/>
    <w:rsid w:val="002E6EA1"/>
    <w:rsid w:val="002E74C8"/>
    <w:rsid w:val="002E7EBD"/>
    <w:rsid w:val="002F1F48"/>
    <w:rsid w:val="00303BF7"/>
    <w:rsid w:val="00304089"/>
    <w:rsid w:val="003064BA"/>
    <w:rsid w:val="00312EF5"/>
    <w:rsid w:val="00314FC8"/>
    <w:rsid w:val="00316835"/>
    <w:rsid w:val="003172A6"/>
    <w:rsid w:val="00333A7B"/>
    <w:rsid w:val="00333F62"/>
    <w:rsid w:val="00337BDE"/>
    <w:rsid w:val="0034186A"/>
    <w:rsid w:val="00343841"/>
    <w:rsid w:val="00345C95"/>
    <w:rsid w:val="00345FA2"/>
    <w:rsid w:val="00352501"/>
    <w:rsid w:val="00354E71"/>
    <w:rsid w:val="00361FF4"/>
    <w:rsid w:val="003717B7"/>
    <w:rsid w:val="00372299"/>
    <w:rsid w:val="003739AA"/>
    <w:rsid w:val="00377443"/>
    <w:rsid w:val="00391C18"/>
    <w:rsid w:val="00392B87"/>
    <w:rsid w:val="00397DF7"/>
    <w:rsid w:val="003A0434"/>
    <w:rsid w:val="003A17C8"/>
    <w:rsid w:val="003A6EF9"/>
    <w:rsid w:val="003A7BA2"/>
    <w:rsid w:val="003B40DF"/>
    <w:rsid w:val="003B6B3D"/>
    <w:rsid w:val="003B738C"/>
    <w:rsid w:val="003C6C7C"/>
    <w:rsid w:val="003D2E54"/>
    <w:rsid w:val="003D516A"/>
    <w:rsid w:val="003D607C"/>
    <w:rsid w:val="003E0562"/>
    <w:rsid w:val="003E1CB5"/>
    <w:rsid w:val="003E347D"/>
    <w:rsid w:val="003F04DC"/>
    <w:rsid w:val="003F2C2A"/>
    <w:rsid w:val="003F6FA1"/>
    <w:rsid w:val="004044E4"/>
    <w:rsid w:val="00405033"/>
    <w:rsid w:val="004052F1"/>
    <w:rsid w:val="0040556F"/>
    <w:rsid w:val="0041021B"/>
    <w:rsid w:val="00416900"/>
    <w:rsid w:val="00417BE7"/>
    <w:rsid w:val="004232C5"/>
    <w:rsid w:val="00425756"/>
    <w:rsid w:val="00430963"/>
    <w:rsid w:val="00431803"/>
    <w:rsid w:val="004362EA"/>
    <w:rsid w:val="00436B79"/>
    <w:rsid w:val="004405D8"/>
    <w:rsid w:val="004443B8"/>
    <w:rsid w:val="004533F7"/>
    <w:rsid w:val="00453E13"/>
    <w:rsid w:val="00454D01"/>
    <w:rsid w:val="00457F43"/>
    <w:rsid w:val="004701D5"/>
    <w:rsid w:val="00473DB1"/>
    <w:rsid w:val="0048469E"/>
    <w:rsid w:val="00485E2F"/>
    <w:rsid w:val="004977AA"/>
    <w:rsid w:val="0049795A"/>
    <w:rsid w:val="004A3D04"/>
    <w:rsid w:val="004C2F00"/>
    <w:rsid w:val="004C37F8"/>
    <w:rsid w:val="004C5123"/>
    <w:rsid w:val="004C5BDA"/>
    <w:rsid w:val="004D4957"/>
    <w:rsid w:val="004E24EB"/>
    <w:rsid w:val="004E2564"/>
    <w:rsid w:val="004E3229"/>
    <w:rsid w:val="004E460E"/>
    <w:rsid w:val="00503702"/>
    <w:rsid w:val="005134A2"/>
    <w:rsid w:val="0052604C"/>
    <w:rsid w:val="005313AC"/>
    <w:rsid w:val="00531721"/>
    <w:rsid w:val="0053194A"/>
    <w:rsid w:val="00532486"/>
    <w:rsid w:val="00532AE3"/>
    <w:rsid w:val="00533D51"/>
    <w:rsid w:val="005343BA"/>
    <w:rsid w:val="00534A75"/>
    <w:rsid w:val="0053575F"/>
    <w:rsid w:val="00540467"/>
    <w:rsid w:val="00541E16"/>
    <w:rsid w:val="00544B81"/>
    <w:rsid w:val="0054695F"/>
    <w:rsid w:val="0055124B"/>
    <w:rsid w:val="00551C0F"/>
    <w:rsid w:val="00551C1C"/>
    <w:rsid w:val="005531E3"/>
    <w:rsid w:val="005545A6"/>
    <w:rsid w:val="005635F1"/>
    <w:rsid w:val="00565B83"/>
    <w:rsid w:val="00572A92"/>
    <w:rsid w:val="005811FD"/>
    <w:rsid w:val="005827C4"/>
    <w:rsid w:val="0058502D"/>
    <w:rsid w:val="00590E53"/>
    <w:rsid w:val="005A671D"/>
    <w:rsid w:val="005A77DC"/>
    <w:rsid w:val="005B0E6C"/>
    <w:rsid w:val="005B104E"/>
    <w:rsid w:val="005B762F"/>
    <w:rsid w:val="005C222A"/>
    <w:rsid w:val="005D1BAC"/>
    <w:rsid w:val="005D25E6"/>
    <w:rsid w:val="005E2853"/>
    <w:rsid w:val="005E4434"/>
    <w:rsid w:val="005F1B30"/>
    <w:rsid w:val="005F358C"/>
    <w:rsid w:val="005F4A4B"/>
    <w:rsid w:val="005F5C27"/>
    <w:rsid w:val="00600AD6"/>
    <w:rsid w:val="00600F4C"/>
    <w:rsid w:val="00603DE5"/>
    <w:rsid w:val="0060761B"/>
    <w:rsid w:val="00610B73"/>
    <w:rsid w:val="006125E3"/>
    <w:rsid w:val="006161DA"/>
    <w:rsid w:val="00616F9F"/>
    <w:rsid w:val="00622D9F"/>
    <w:rsid w:val="00623C34"/>
    <w:rsid w:val="00624285"/>
    <w:rsid w:val="006253DD"/>
    <w:rsid w:val="00631659"/>
    <w:rsid w:val="006319C0"/>
    <w:rsid w:val="00634F78"/>
    <w:rsid w:val="006446B2"/>
    <w:rsid w:val="006447FC"/>
    <w:rsid w:val="00645AE8"/>
    <w:rsid w:val="00646BB3"/>
    <w:rsid w:val="0064724C"/>
    <w:rsid w:val="00651F86"/>
    <w:rsid w:val="0067050F"/>
    <w:rsid w:val="006718C2"/>
    <w:rsid w:val="00671EEF"/>
    <w:rsid w:val="00672BF0"/>
    <w:rsid w:val="006823E4"/>
    <w:rsid w:val="006827AB"/>
    <w:rsid w:val="0069414B"/>
    <w:rsid w:val="006962C3"/>
    <w:rsid w:val="006969EF"/>
    <w:rsid w:val="0069732D"/>
    <w:rsid w:val="006A3981"/>
    <w:rsid w:val="006B4870"/>
    <w:rsid w:val="006C55ED"/>
    <w:rsid w:val="006C6D78"/>
    <w:rsid w:val="006D0A9B"/>
    <w:rsid w:val="006D2658"/>
    <w:rsid w:val="006D683A"/>
    <w:rsid w:val="006D7CE5"/>
    <w:rsid w:val="006E49E3"/>
    <w:rsid w:val="006E6640"/>
    <w:rsid w:val="006F0973"/>
    <w:rsid w:val="006F6BC4"/>
    <w:rsid w:val="0070084F"/>
    <w:rsid w:val="007013A6"/>
    <w:rsid w:val="0071292D"/>
    <w:rsid w:val="00720602"/>
    <w:rsid w:val="007207B4"/>
    <w:rsid w:val="00721D5F"/>
    <w:rsid w:val="00722E10"/>
    <w:rsid w:val="00722ED2"/>
    <w:rsid w:val="00724EBF"/>
    <w:rsid w:val="00726DE6"/>
    <w:rsid w:val="00731B25"/>
    <w:rsid w:val="00733B1C"/>
    <w:rsid w:val="007360B4"/>
    <w:rsid w:val="00741961"/>
    <w:rsid w:val="00743059"/>
    <w:rsid w:val="00754950"/>
    <w:rsid w:val="007563A3"/>
    <w:rsid w:val="00756445"/>
    <w:rsid w:val="007624D8"/>
    <w:rsid w:val="00765337"/>
    <w:rsid w:val="00765449"/>
    <w:rsid w:val="00765CA7"/>
    <w:rsid w:val="00775EC2"/>
    <w:rsid w:val="00781162"/>
    <w:rsid w:val="0078260F"/>
    <w:rsid w:val="007827AF"/>
    <w:rsid w:val="00791F3F"/>
    <w:rsid w:val="007954C1"/>
    <w:rsid w:val="007A0CB2"/>
    <w:rsid w:val="007A12C4"/>
    <w:rsid w:val="007A35A6"/>
    <w:rsid w:val="007A4634"/>
    <w:rsid w:val="007A4F38"/>
    <w:rsid w:val="007B1A32"/>
    <w:rsid w:val="007B30B3"/>
    <w:rsid w:val="007B3B43"/>
    <w:rsid w:val="007C0174"/>
    <w:rsid w:val="007C09C3"/>
    <w:rsid w:val="007C1FBC"/>
    <w:rsid w:val="007C42A1"/>
    <w:rsid w:val="007D5D73"/>
    <w:rsid w:val="007D73FE"/>
    <w:rsid w:val="007D7425"/>
    <w:rsid w:val="007E7A5B"/>
    <w:rsid w:val="007F0428"/>
    <w:rsid w:val="007F69BE"/>
    <w:rsid w:val="007F778A"/>
    <w:rsid w:val="00806D31"/>
    <w:rsid w:val="00815473"/>
    <w:rsid w:val="00815D4C"/>
    <w:rsid w:val="00821FD2"/>
    <w:rsid w:val="00831815"/>
    <w:rsid w:val="00833E1B"/>
    <w:rsid w:val="00834C5B"/>
    <w:rsid w:val="00844883"/>
    <w:rsid w:val="0084499C"/>
    <w:rsid w:val="00851E81"/>
    <w:rsid w:val="008659CB"/>
    <w:rsid w:val="00874E64"/>
    <w:rsid w:val="008819B5"/>
    <w:rsid w:val="00882BFA"/>
    <w:rsid w:val="00887705"/>
    <w:rsid w:val="00894AFC"/>
    <w:rsid w:val="00895F46"/>
    <w:rsid w:val="008976CA"/>
    <w:rsid w:val="008A28DC"/>
    <w:rsid w:val="008A5ACC"/>
    <w:rsid w:val="008A5AEB"/>
    <w:rsid w:val="008B004E"/>
    <w:rsid w:val="008B1505"/>
    <w:rsid w:val="008B1D45"/>
    <w:rsid w:val="008C101F"/>
    <w:rsid w:val="008C36AC"/>
    <w:rsid w:val="008C6D99"/>
    <w:rsid w:val="008D0D41"/>
    <w:rsid w:val="008D2D61"/>
    <w:rsid w:val="008D5ECF"/>
    <w:rsid w:val="008D6BF2"/>
    <w:rsid w:val="008E09AB"/>
    <w:rsid w:val="008E6C77"/>
    <w:rsid w:val="008F4077"/>
    <w:rsid w:val="008F7C0F"/>
    <w:rsid w:val="009045FA"/>
    <w:rsid w:val="00917796"/>
    <w:rsid w:val="0092052C"/>
    <w:rsid w:val="009231AF"/>
    <w:rsid w:val="00933AC2"/>
    <w:rsid w:val="009345CD"/>
    <w:rsid w:val="00937155"/>
    <w:rsid w:val="00953655"/>
    <w:rsid w:val="00957A47"/>
    <w:rsid w:val="00957CB4"/>
    <w:rsid w:val="009600CA"/>
    <w:rsid w:val="009623F1"/>
    <w:rsid w:val="00963E71"/>
    <w:rsid w:val="00965748"/>
    <w:rsid w:val="00970371"/>
    <w:rsid w:val="009746CD"/>
    <w:rsid w:val="00977282"/>
    <w:rsid w:val="00977724"/>
    <w:rsid w:val="00982058"/>
    <w:rsid w:val="00992E58"/>
    <w:rsid w:val="00996B76"/>
    <w:rsid w:val="009A75DA"/>
    <w:rsid w:val="009B36FC"/>
    <w:rsid w:val="009B57F9"/>
    <w:rsid w:val="009B6344"/>
    <w:rsid w:val="009C071E"/>
    <w:rsid w:val="009C4CBE"/>
    <w:rsid w:val="009C54F3"/>
    <w:rsid w:val="009D1E7F"/>
    <w:rsid w:val="009D6271"/>
    <w:rsid w:val="009D7062"/>
    <w:rsid w:val="009F1F98"/>
    <w:rsid w:val="009F4B24"/>
    <w:rsid w:val="00A06E54"/>
    <w:rsid w:val="00A14A50"/>
    <w:rsid w:val="00A156E5"/>
    <w:rsid w:val="00A173C7"/>
    <w:rsid w:val="00A255B0"/>
    <w:rsid w:val="00A3019D"/>
    <w:rsid w:val="00A34AF2"/>
    <w:rsid w:val="00A35202"/>
    <w:rsid w:val="00A3593C"/>
    <w:rsid w:val="00A35E62"/>
    <w:rsid w:val="00A36357"/>
    <w:rsid w:val="00A443A3"/>
    <w:rsid w:val="00A4487C"/>
    <w:rsid w:val="00A467AC"/>
    <w:rsid w:val="00A47C46"/>
    <w:rsid w:val="00A5032D"/>
    <w:rsid w:val="00A561FA"/>
    <w:rsid w:val="00A606AB"/>
    <w:rsid w:val="00A6320A"/>
    <w:rsid w:val="00A70EA6"/>
    <w:rsid w:val="00A768E5"/>
    <w:rsid w:val="00A817F6"/>
    <w:rsid w:val="00A832F1"/>
    <w:rsid w:val="00A8411B"/>
    <w:rsid w:val="00A85DC5"/>
    <w:rsid w:val="00A95BBD"/>
    <w:rsid w:val="00A97DF6"/>
    <w:rsid w:val="00AA0384"/>
    <w:rsid w:val="00AA0EE6"/>
    <w:rsid w:val="00AA4AC6"/>
    <w:rsid w:val="00AA6C80"/>
    <w:rsid w:val="00AB1652"/>
    <w:rsid w:val="00AB1D7D"/>
    <w:rsid w:val="00AB2B49"/>
    <w:rsid w:val="00AB55A6"/>
    <w:rsid w:val="00AC68D8"/>
    <w:rsid w:val="00AD19F2"/>
    <w:rsid w:val="00AD2E1A"/>
    <w:rsid w:val="00AD67DA"/>
    <w:rsid w:val="00AD7C00"/>
    <w:rsid w:val="00AE50D5"/>
    <w:rsid w:val="00AE73D0"/>
    <w:rsid w:val="00AF0838"/>
    <w:rsid w:val="00AF2F46"/>
    <w:rsid w:val="00AF6B1C"/>
    <w:rsid w:val="00B0010A"/>
    <w:rsid w:val="00B0157B"/>
    <w:rsid w:val="00B05755"/>
    <w:rsid w:val="00B064C4"/>
    <w:rsid w:val="00B06888"/>
    <w:rsid w:val="00B10622"/>
    <w:rsid w:val="00B10D08"/>
    <w:rsid w:val="00B1270C"/>
    <w:rsid w:val="00B16DC7"/>
    <w:rsid w:val="00B17464"/>
    <w:rsid w:val="00B17E6C"/>
    <w:rsid w:val="00B20427"/>
    <w:rsid w:val="00B26945"/>
    <w:rsid w:val="00B335A4"/>
    <w:rsid w:val="00B36CE3"/>
    <w:rsid w:val="00B36E56"/>
    <w:rsid w:val="00B45C83"/>
    <w:rsid w:val="00B52CBD"/>
    <w:rsid w:val="00B54DB0"/>
    <w:rsid w:val="00B6031D"/>
    <w:rsid w:val="00B606C5"/>
    <w:rsid w:val="00B60806"/>
    <w:rsid w:val="00B67331"/>
    <w:rsid w:val="00B70C89"/>
    <w:rsid w:val="00B75F0D"/>
    <w:rsid w:val="00B77F68"/>
    <w:rsid w:val="00B82C23"/>
    <w:rsid w:val="00B86F64"/>
    <w:rsid w:val="00B87852"/>
    <w:rsid w:val="00B93E41"/>
    <w:rsid w:val="00B97532"/>
    <w:rsid w:val="00BA3637"/>
    <w:rsid w:val="00BA60E3"/>
    <w:rsid w:val="00BA72B6"/>
    <w:rsid w:val="00BB00BB"/>
    <w:rsid w:val="00BB0BFB"/>
    <w:rsid w:val="00BB2C93"/>
    <w:rsid w:val="00BB39E1"/>
    <w:rsid w:val="00BC1FCA"/>
    <w:rsid w:val="00BC7B11"/>
    <w:rsid w:val="00BD1D0D"/>
    <w:rsid w:val="00BD2789"/>
    <w:rsid w:val="00BD2E7D"/>
    <w:rsid w:val="00BD583F"/>
    <w:rsid w:val="00BD5B51"/>
    <w:rsid w:val="00BD6F03"/>
    <w:rsid w:val="00BD6F79"/>
    <w:rsid w:val="00BE0C9D"/>
    <w:rsid w:val="00BE15CA"/>
    <w:rsid w:val="00BF2B14"/>
    <w:rsid w:val="00BF4291"/>
    <w:rsid w:val="00BF4482"/>
    <w:rsid w:val="00BF544A"/>
    <w:rsid w:val="00BF65C9"/>
    <w:rsid w:val="00BF7157"/>
    <w:rsid w:val="00C0487F"/>
    <w:rsid w:val="00C04C9A"/>
    <w:rsid w:val="00C05750"/>
    <w:rsid w:val="00C16AA6"/>
    <w:rsid w:val="00C16DCA"/>
    <w:rsid w:val="00C301AE"/>
    <w:rsid w:val="00C32993"/>
    <w:rsid w:val="00C32F23"/>
    <w:rsid w:val="00C3460D"/>
    <w:rsid w:val="00C34762"/>
    <w:rsid w:val="00C36D1F"/>
    <w:rsid w:val="00C40470"/>
    <w:rsid w:val="00C411A7"/>
    <w:rsid w:val="00C44F37"/>
    <w:rsid w:val="00C46237"/>
    <w:rsid w:val="00C46A07"/>
    <w:rsid w:val="00C5190C"/>
    <w:rsid w:val="00C520AF"/>
    <w:rsid w:val="00C55035"/>
    <w:rsid w:val="00C5619E"/>
    <w:rsid w:val="00C6167F"/>
    <w:rsid w:val="00C6579E"/>
    <w:rsid w:val="00C71787"/>
    <w:rsid w:val="00C74090"/>
    <w:rsid w:val="00C75D4F"/>
    <w:rsid w:val="00C80AB6"/>
    <w:rsid w:val="00C82171"/>
    <w:rsid w:val="00C823D1"/>
    <w:rsid w:val="00C82B6F"/>
    <w:rsid w:val="00C848A9"/>
    <w:rsid w:val="00C94F11"/>
    <w:rsid w:val="00C974EC"/>
    <w:rsid w:val="00CA512D"/>
    <w:rsid w:val="00CB0A7E"/>
    <w:rsid w:val="00CB1152"/>
    <w:rsid w:val="00CB37C1"/>
    <w:rsid w:val="00CB436A"/>
    <w:rsid w:val="00CB7BC6"/>
    <w:rsid w:val="00CC4079"/>
    <w:rsid w:val="00CD1613"/>
    <w:rsid w:val="00CD23D2"/>
    <w:rsid w:val="00CD42A2"/>
    <w:rsid w:val="00CD4393"/>
    <w:rsid w:val="00CD4761"/>
    <w:rsid w:val="00CD4C56"/>
    <w:rsid w:val="00CD559E"/>
    <w:rsid w:val="00CE5947"/>
    <w:rsid w:val="00CE73C6"/>
    <w:rsid w:val="00CF5078"/>
    <w:rsid w:val="00CF7486"/>
    <w:rsid w:val="00D07627"/>
    <w:rsid w:val="00D16461"/>
    <w:rsid w:val="00D20713"/>
    <w:rsid w:val="00D218E0"/>
    <w:rsid w:val="00D4500A"/>
    <w:rsid w:val="00D463EE"/>
    <w:rsid w:val="00D46DEF"/>
    <w:rsid w:val="00D51E5E"/>
    <w:rsid w:val="00D52D56"/>
    <w:rsid w:val="00D54AA9"/>
    <w:rsid w:val="00D551AE"/>
    <w:rsid w:val="00D56EED"/>
    <w:rsid w:val="00D6164C"/>
    <w:rsid w:val="00D74183"/>
    <w:rsid w:val="00D80310"/>
    <w:rsid w:val="00D80778"/>
    <w:rsid w:val="00D81DFD"/>
    <w:rsid w:val="00D82673"/>
    <w:rsid w:val="00D82BBD"/>
    <w:rsid w:val="00D93741"/>
    <w:rsid w:val="00D94C93"/>
    <w:rsid w:val="00D97302"/>
    <w:rsid w:val="00DA4835"/>
    <w:rsid w:val="00DA706D"/>
    <w:rsid w:val="00DB113D"/>
    <w:rsid w:val="00DC1AA3"/>
    <w:rsid w:val="00DC368E"/>
    <w:rsid w:val="00DC5721"/>
    <w:rsid w:val="00DC69D3"/>
    <w:rsid w:val="00DC7C18"/>
    <w:rsid w:val="00DD0F13"/>
    <w:rsid w:val="00DD20BE"/>
    <w:rsid w:val="00DD2A72"/>
    <w:rsid w:val="00DD2D96"/>
    <w:rsid w:val="00DD75E6"/>
    <w:rsid w:val="00DE0590"/>
    <w:rsid w:val="00DE4AFA"/>
    <w:rsid w:val="00DE5B85"/>
    <w:rsid w:val="00DF22BA"/>
    <w:rsid w:val="00DF2439"/>
    <w:rsid w:val="00DF6405"/>
    <w:rsid w:val="00E059A8"/>
    <w:rsid w:val="00E07762"/>
    <w:rsid w:val="00E10855"/>
    <w:rsid w:val="00E1303F"/>
    <w:rsid w:val="00E13269"/>
    <w:rsid w:val="00E3362E"/>
    <w:rsid w:val="00E40DC9"/>
    <w:rsid w:val="00E463E4"/>
    <w:rsid w:val="00E57B5F"/>
    <w:rsid w:val="00E61B20"/>
    <w:rsid w:val="00E6538A"/>
    <w:rsid w:val="00E66E2B"/>
    <w:rsid w:val="00E710B9"/>
    <w:rsid w:val="00E76A3C"/>
    <w:rsid w:val="00E830F8"/>
    <w:rsid w:val="00E94D38"/>
    <w:rsid w:val="00EA27A6"/>
    <w:rsid w:val="00EA3091"/>
    <w:rsid w:val="00EA4832"/>
    <w:rsid w:val="00EA5BA1"/>
    <w:rsid w:val="00EA5DC8"/>
    <w:rsid w:val="00EB7C99"/>
    <w:rsid w:val="00EC130C"/>
    <w:rsid w:val="00EC6630"/>
    <w:rsid w:val="00ED2A53"/>
    <w:rsid w:val="00ED3081"/>
    <w:rsid w:val="00ED3F39"/>
    <w:rsid w:val="00ED5249"/>
    <w:rsid w:val="00ED54E5"/>
    <w:rsid w:val="00ED5CB3"/>
    <w:rsid w:val="00ED7226"/>
    <w:rsid w:val="00ED7793"/>
    <w:rsid w:val="00ED7D60"/>
    <w:rsid w:val="00EE1736"/>
    <w:rsid w:val="00EE2154"/>
    <w:rsid w:val="00EE4B1F"/>
    <w:rsid w:val="00EE5B6D"/>
    <w:rsid w:val="00EE5FFD"/>
    <w:rsid w:val="00EF0099"/>
    <w:rsid w:val="00EF0F9E"/>
    <w:rsid w:val="00EF4019"/>
    <w:rsid w:val="00EF4D0C"/>
    <w:rsid w:val="00EF51FB"/>
    <w:rsid w:val="00EF61B4"/>
    <w:rsid w:val="00F022B2"/>
    <w:rsid w:val="00F02DD2"/>
    <w:rsid w:val="00F03452"/>
    <w:rsid w:val="00F061B8"/>
    <w:rsid w:val="00F128C5"/>
    <w:rsid w:val="00F12A34"/>
    <w:rsid w:val="00F14939"/>
    <w:rsid w:val="00F14B76"/>
    <w:rsid w:val="00F20613"/>
    <w:rsid w:val="00F2175C"/>
    <w:rsid w:val="00F233CC"/>
    <w:rsid w:val="00F24E40"/>
    <w:rsid w:val="00F26BD4"/>
    <w:rsid w:val="00F30049"/>
    <w:rsid w:val="00F30651"/>
    <w:rsid w:val="00F3734B"/>
    <w:rsid w:val="00F40556"/>
    <w:rsid w:val="00F40E6A"/>
    <w:rsid w:val="00F411B1"/>
    <w:rsid w:val="00F439C9"/>
    <w:rsid w:val="00F5144F"/>
    <w:rsid w:val="00F51ADC"/>
    <w:rsid w:val="00F57FAE"/>
    <w:rsid w:val="00F60E20"/>
    <w:rsid w:val="00F669CE"/>
    <w:rsid w:val="00F80B02"/>
    <w:rsid w:val="00F86A0C"/>
    <w:rsid w:val="00F92C3B"/>
    <w:rsid w:val="00F92D07"/>
    <w:rsid w:val="00F93F16"/>
    <w:rsid w:val="00F95428"/>
    <w:rsid w:val="00FA5210"/>
    <w:rsid w:val="00FB2807"/>
    <w:rsid w:val="00FC0197"/>
    <w:rsid w:val="00FC2378"/>
    <w:rsid w:val="00FC58D0"/>
    <w:rsid w:val="00FE28A4"/>
    <w:rsid w:val="00FE55F1"/>
    <w:rsid w:val="00FE5C26"/>
    <w:rsid w:val="00FF003C"/>
    <w:rsid w:val="00FF0525"/>
    <w:rsid w:val="00FF306F"/>
    <w:rsid w:val="00FF57DF"/>
    <w:rsid w:val="00FF5A53"/>
    <w:rsid w:val="00FF6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93C3F712-CD85-4DDA-981C-BC054237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both"/>
      <w:outlineLvl w:val="0"/>
    </w:pPr>
    <w:rPr>
      <w:b/>
      <w:u w:val="single"/>
    </w:rPr>
  </w:style>
  <w:style w:type="paragraph" w:styleId="Heading2">
    <w:name w:val="heading 2"/>
    <w:basedOn w:val="Normal"/>
    <w:next w:val="Normal"/>
    <w:qFormat/>
    <w:pPr>
      <w:keepNext/>
      <w:jc w:val="both"/>
      <w:outlineLvl w:val="1"/>
    </w:pPr>
    <w:rPr>
      <w:b/>
    </w:rPr>
  </w:style>
  <w:style w:type="paragraph" w:styleId="Heading3">
    <w:name w:val="heading 3"/>
    <w:basedOn w:val="Normal"/>
    <w:next w:val="Normal"/>
    <w:qFormat/>
    <w:pPr>
      <w:keepNext/>
      <w:ind w:left="2160" w:hanging="2160"/>
      <w:jc w:val="both"/>
      <w:outlineLvl w:val="2"/>
    </w:pPr>
    <w:rPr>
      <w:b/>
    </w:rPr>
  </w:style>
  <w:style w:type="paragraph" w:styleId="Heading4">
    <w:name w:val="heading 4"/>
    <w:basedOn w:val="Normal"/>
    <w:next w:val="Normal"/>
    <w:qFormat/>
    <w:pPr>
      <w:keepNext/>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rPr>
      <w:sz w:val="16"/>
    </w:rPr>
  </w:style>
  <w:style w:type="paragraph" w:styleId="BodyTextIndent">
    <w:name w:val="Body Text Indent"/>
    <w:basedOn w:val="Normal"/>
    <w:pPr>
      <w:ind w:left="720" w:hanging="720"/>
      <w:jc w:val="both"/>
    </w:pPr>
  </w:style>
  <w:style w:type="character" w:styleId="PageNumber">
    <w:name w:val="page number"/>
    <w:basedOn w:val="DefaultParagraphFont"/>
  </w:style>
  <w:style w:type="paragraph" w:styleId="BodyText">
    <w:name w:val="Body Text"/>
    <w:basedOn w:val="Normal"/>
    <w:pPr>
      <w:spacing w:before="120" w:after="120"/>
      <w:jc w:val="both"/>
    </w:pPr>
    <w:rPr>
      <w:sz w:val="24"/>
    </w:rPr>
  </w:style>
  <w:style w:type="paragraph" w:styleId="BodyTextIndent2">
    <w:name w:val="Body Text Indent 2"/>
    <w:basedOn w:val="Normal"/>
    <w:rsid w:val="000D2779"/>
    <w:pPr>
      <w:spacing w:after="120" w:line="480" w:lineRule="auto"/>
      <w:ind w:left="283"/>
    </w:pPr>
  </w:style>
  <w:style w:type="paragraph" w:styleId="BodyText2">
    <w:name w:val="Body Text 2"/>
    <w:basedOn w:val="Normal"/>
    <w:rsid w:val="000D2779"/>
    <w:pPr>
      <w:spacing w:after="120" w:line="480" w:lineRule="auto"/>
    </w:pPr>
  </w:style>
  <w:style w:type="paragraph" w:styleId="BodyTextIndent3">
    <w:name w:val="Body Text Indent 3"/>
    <w:basedOn w:val="Normal"/>
    <w:rsid w:val="000D2779"/>
    <w:pPr>
      <w:spacing w:after="120"/>
      <w:ind w:left="283"/>
    </w:pPr>
    <w:rPr>
      <w:sz w:val="16"/>
      <w:szCs w:val="16"/>
    </w:rPr>
  </w:style>
  <w:style w:type="paragraph" w:styleId="Caption">
    <w:name w:val="caption"/>
    <w:basedOn w:val="Normal"/>
    <w:next w:val="Normal"/>
    <w:qFormat/>
    <w:rsid w:val="000D2779"/>
    <w:pPr>
      <w:jc w:val="both"/>
    </w:pPr>
    <w:rPr>
      <w:rFonts w:cs="Arial"/>
      <w:b/>
      <w:bCs/>
      <w:szCs w:val="24"/>
      <w:lang w:eastAsia="en-US"/>
    </w:rPr>
  </w:style>
  <w:style w:type="table" w:styleId="TableGrid">
    <w:name w:val="Table Grid"/>
    <w:basedOn w:val="TableNormal"/>
    <w:rsid w:val="005C2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2052C"/>
    <w:rPr>
      <w:color w:val="0000FF"/>
      <w:u w:val="single"/>
    </w:rPr>
  </w:style>
  <w:style w:type="paragraph" w:styleId="BalloonText">
    <w:name w:val="Balloon Text"/>
    <w:basedOn w:val="Normal"/>
    <w:link w:val="BalloonTextChar"/>
    <w:uiPriority w:val="99"/>
    <w:semiHidden/>
    <w:unhideWhenUsed/>
    <w:rsid w:val="00A8411B"/>
    <w:rPr>
      <w:rFonts w:ascii="Tahoma" w:hAnsi="Tahoma" w:cs="Tahoma"/>
      <w:sz w:val="16"/>
      <w:szCs w:val="16"/>
    </w:rPr>
  </w:style>
  <w:style w:type="character" w:customStyle="1" w:styleId="BalloonTextChar">
    <w:name w:val="Balloon Text Char"/>
    <w:link w:val="BalloonText"/>
    <w:uiPriority w:val="99"/>
    <w:semiHidden/>
    <w:rsid w:val="00A8411B"/>
    <w:rPr>
      <w:rFonts w:ascii="Tahoma" w:hAnsi="Tahoma" w:cs="Tahoma"/>
      <w:sz w:val="16"/>
      <w:szCs w:val="16"/>
    </w:rPr>
  </w:style>
  <w:style w:type="paragraph" w:styleId="ListParagraph">
    <w:name w:val="List Paragraph"/>
    <w:basedOn w:val="Normal"/>
    <w:uiPriority w:val="34"/>
    <w:qFormat/>
    <w:rsid w:val="00A47C46"/>
    <w:pPr>
      <w:ind w:left="720"/>
    </w:pPr>
  </w:style>
  <w:style w:type="character" w:customStyle="1" w:styleId="FooterChar">
    <w:name w:val="Footer Char"/>
    <w:link w:val="Footer"/>
    <w:uiPriority w:val="99"/>
    <w:rsid w:val="00534A75"/>
    <w:rPr>
      <w:rFonts w:ascii="Arial" w:hAnsi="Arial"/>
      <w:sz w:val="16"/>
    </w:rPr>
  </w:style>
  <w:style w:type="paragraph" w:styleId="z-TopofForm">
    <w:name w:val="HTML Top of Form"/>
    <w:basedOn w:val="Normal"/>
    <w:next w:val="Normal"/>
    <w:link w:val="z-TopofFormChar"/>
    <w:hidden/>
    <w:uiPriority w:val="99"/>
    <w:semiHidden/>
    <w:unhideWhenUsed/>
    <w:rsid w:val="00651F86"/>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651F86"/>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651F86"/>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651F86"/>
    <w:rPr>
      <w:rFonts w:ascii="Arial" w:hAnsi="Arial" w:cs="Arial"/>
      <w:vanish/>
      <w:sz w:val="16"/>
      <w:szCs w:val="16"/>
    </w:rPr>
  </w:style>
  <w:style w:type="character" w:customStyle="1" w:styleId="HeaderChar">
    <w:name w:val="Header Char"/>
    <w:link w:val="Header"/>
    <w:uiPriority w:val="99"/>
    <w:rsid w:val="001835A6"/>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3858227">
      <w:bodyDiv w:val="1"/>
      <w:marLeft w:val="0"/>
      <w:marRight w:val="0"/>
      <w:marTop w:val="0"/>
      <w:marBottom w:val="0"/>
      <w:divBdr>
        <w:top w:val="none" w:sz="0" w:space="0" w:color="auto"/>
        <w:left w:val="none" w:sz="0" w:space="0" w:color="auto"/>
        <w:bottom w:val="none" w:sz="0" w:space="0" w:color="auto"/>
        <w:right w:val="none" w:sz="0" w:space="0" w:color="auto"/>
      </w:divBdr>
      <w:divsChild>
        <w:div w:id="735670137">
          <w:marLeft w:val="0"/>
          <w:marRight w:val="0"/>
          <w:marTop w:val="0"/>
          <w:marBottom w:val="0"/>
          <w:divBdr>
            <w:top w:val="none" w:sz="0" w:space="0" w:color="auto"/>
            <w:left w:val="none" w:sz="0" w:space="0" w:color="auto"/>
            <w:bottom w:val="none" w:sz="0" w:space="0" w:color="auto"/>
            <w:right w:val="none" w:sz="0" w:space="0" w:color="auto"/>
          </w:divBdr>
        </w:div>
      </w:divsChild>
    </w:div>
    <w:div w:id="850028703">
      <w:bodyDiv w:val="1"/>
      <w:marLeft w:val="0"/>
      <w:marRight w:val="0"/>
      <w:marTop w:val="0"/>
      <w:marBottom w:val="0"/>
      <w:divBdr>
        <w:top w:val="none" w:sz="0" w:space="0" w:color="auto"/>
        <w:left w:val="none" w:sz="0" w:space="0" w:color="auto"/>
        <w:bottom w:val="none" w:sz="0" w:space="0" w:color="auto"/>
        <w:right w:val="none" w:sz="0" w:space="0" w:color="auto"/>
      </w:divBdr>
    </w:div>
    <w:div w:id="1114400733">
      <w:bodyDiv w:val="1"/>
      <w:marLeft w:val="0"/>
      <w:marRight w:val="0"/>
      <w:marTop w:val="0"/>
      <w:marBottom w:val="0"/>
      <w:divBdr>
        <w:top w:val="none" w:sz="0" w:space="0" w:color="auto"/>
        <w:left w:val="none" w:sz="0" w:space="0" w:color="auto"/>
        <w:bottom w:val="none" w:sz="0" w:space="0" w:color="auto"/>
        <w:right w:val="none" w:sz="0" w:space="0" w:color="auto"/>
      </w:divBdr>
      <w:divsChild>
        <w:div w:id="2012641921">
          <w:marLeft w:val="0"/>
          <w:marRight w:val="0"/>
          <w:marTop w:val="0"/>
          <w:marBottom w:val="0"/>
          <w:divBdr>
            <w:top w:val="none" w:sz="0" w:space="0" w:color="auto"/>
            <w:left w:val="none" w:sz="0" w:space="0" w:color="auto"/>
            <w:bottom w:val="none" w:sz="0" w:space="0" w:color="auto"/>
            <w:right w:val="none" w:sz="0" w:space="0" w:color="auto"/>
          </w:divBdr>
        </w:div>
      </w:divsChild>
    </w:div>
    <w:div w:id="1884366301">
      <w:bodyDiv w:val="1"/>
      <w:marLeft w:val="0"/>
      <w:marRight w:val="0"/>
      <w:marTop w:val="0"/>
      <w:marBottom w:val="0"/>
      <w:divBdr>
        <w:top w:val="none" w:sz="0" w:space="0" w:color="auto"/>
        <w:left w:val="none" w:sz="0" w:space="0" w:color="auto"/>
        <w:bottom w:val="none" w:sz="0" w:space="0" w:color="auto"/>
        <w:right w:val="none" w:sz="0" w:space="0" w:color="auto"/>
      </w:divBdr>
    </w:div>
    <w:div w:id="2012953474">
      <w:bodyDiv w:val="1"/>
      <w:marLeft w:val="0"/>
      <w:marRight w:val="0"/>
      <w:marTop w:val="0"/>
      <w:marBottom w:val="0"/>
      <w:divBdr>
        <w:top w:val="none" w:sz="0" w:space="0" w:color="auto"/>
        <w:left w:val="none" w:sz="0" w:space="0" w:color="auto"/>
        <w:bottom w:val="none" w:sz="0" w:space="0" w:color="auto"/>
        <w:right w:val="none" w:sz="0" w:space="0" w:color="auto"/>
      </w:divBdr>
      <w:divsChild>
        <w:div w:id="133330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1.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Number of complaints closed </c:v>
                </c:pt>
              </c:strCache>
            </c:strRef>
          </c:tx>
          <c:cat>
            <c:strRef>
              <c:f>Sheet1!$A$2:$A$26</c:f>
              <c:strCache>
                <c:ptCount val="25"/>
                <c:pt idx="0">
                  <c:v>2012/13</c:v>
                </c:pt>
                <c:pt idx="1">
                  <c:v>Qtr 1 2013/14</c:v>
                </c:pt>
                <c:pt idx="2">
                  <c:v>Qtr 2 2013/14</c:v>
                </c:pt>
                <c:pt idx="3">
                  <c:v>Qtr 3 2013/14</c:v>
                </c:pt>
                <c:pt idx="4">
                  <c:v>Qtr 4 2013/14</c:v>
                </c:pt>
                <c:pt idx="5">
                  <c:v>Qtr 1 2014/15</c:v>
                </c:pt>
                <c:pt idx="6">
                  <c:v>Qtr 2 2014/15</c:v>
                </c:pt>
                <c:pt idx="7">
                  <c:v>Qtr 3 2014/15</c:v>
                </c:pt>
                <c:pt idx="8">
                  <c:v>Qtr4 2014/15</c:v>
                </c:pt>
                <c:pt idx="9">
                  <c:v>Qtr 1 2015/16</c:v>
                </c:pt>
                <c:pt idx="10">
                  <c:v>Qtr 2 2015/16</c:v>
                </c:pt>
                <c:pt idx="11">
                  <c:v>Qtr 3 2015/16</c:v>
                </c:pt>
                <c:pt idx="12">
                  <c:v>Qtr 4 2015/16</c:v>
                </c:pt>
                <c:pt idx="13">
                  <c:v>Qtr 1 2016/17</c:v>
                </c:pt>
                <c:pt idx="14">
                  <c:v>Qtr 2 2016/17</c:v>
                </c:pt>
                <c:pt idx="15">
                  <c:v>Qtr 3 2016/17</c:v>
                </c:pt>
                <c:pt idx="16">
                  <c:v>Qtr 4 2016/17</c:v>
                </c:pt>
                <c:pt idx="17">
                  <c:v>Qtr 1 2017/18</c:v>
                </c:pt>
                <c:pt idx="18">
                  <c:v>Qtr 2 2017/18</c:v>
                </c:pt>
                <c:pt idx="19">
                  <c:v>Qtr 3 2017/18</c:v>
                </c:pt>
                <c:pt idx="20">
                  <c:v>Qtr 4 2017/18</c:v>
                </c:pt>
                <c:pt idx="21">
                  <c:v>Qtr 1 2018/19</c:v>
                </c:pt>
                <c:pt idx="22">
                  <c:v>Qtr 2 2018/19</c:v>
                </c:pt>
                <c:pt idx="23">
                  <c:v>Qtr 3 2018/19</c:v>
                </c:pt>
                <c:pt idx="24">
                  <c:v>Qtr 4 2018/19</c:v>
                </c:pt>
              </c:strCache>
            </c:strRef>
          </c:cat>
          <c:val>
            <c:numRef>
              <c:f>Sheet1!$B$2:$B$26</c:f>
              <c:numCache>
                <c:formatCode>General</c:formatCode>
                <c:ptCount val="25"/>
                <c:pt idx="0">
                  <c:v>99</c:v>
                </c:pt>
                <c:pt idx="1">
                  <c:v>85</c:v>
                </c:pt>
                <c:pt idx="2">
                  <c:v>128</c:v>
                </c:pt>
                <c:pt idx="3">
                  <c:v>134</c:v>
                </c:pt>
                <c:pt idx="4">
                  <c:v>152</c:v>
                </c:pt>
                <c:pt idx="5">
                  <c:v>151</c:v>
                </c:pt>
                <c:pt idx="6">
                  <c:v>141</c:v>
                </c:pt>
                <c:pt idx="7">
                  <c:v>118</c:v>
                </c:pt>
                <c:pt idx="8">
                  <c:v>120</c:v>
                </c:pt>
                <c:pt idx="9">
                  <c:v>126</c:v>
                </c:pt>
                <c:pt idx="10">
                  <c:v>100</c:v>
                </c:pt>
                <c:pt idx="11">
                  <c:v>103</c:v>
                </c:pt>
                <c:pt idx="12">
                  <c:v>129</c:v>
                </c:pt>
                <c:pt idx="13">
                  <c:v>132</c:v>
                </c:pt>
                <c:pt idx="14">
                  <c:v>102</c:v>
                </c:pt>
                <c:pt idx="15">
                  <c:v>113</c:v>
                </c:pt>
                <c:pt idx="16">
                  <c:v>126</c:v>
                </c:pt>
                <c:pt idx="17">
                  <c:v>135</c:v>
                </c:pt>
                <c:pt idx="18">
                  <c:v>141</c:v>
                </c:pt>
                <c:pt idx="19">
                  <c:v>145</c:v>
                </c:pt>
                <c:pt idx="20">
                  <c:v>146</c:v>
                </c:pt>
                <c:pt idx="21">
                  <c:v>184</c:v>
                </c:pt>
                <c:pt idx="22">
                  <c:v>153</c:v>
                </c:pt>
                <c:pt idx="23">
                  <c:v>179</c:v>
                </c:pt>
                <c:pt idx="24">
                  <c:v>186</c:v>
                </c:pt>
              </c:numCache>
            </c:numRef>
          </c:val>
          <c:smooth val="0"/>
        </c:ser>
        <c:dLbls>
          <c:showLegendKey val="0"/>
          <c:showVal val="0"/>
          <c:showCatName val="0"/>
          <c:showSerName val="0"/>
          <c:showPercent val="0"/>
          <c:showBubbleSize val="0"/>
        </c:dLbls>
        <c:marker val="1"/>
        <c:smooth val="0"/>
        <c:axId val="270087528"/>
        <c:axId val="269941392"/>
      </c:lineChart>
      <c:catAx>
        <c:axId val="270087528"/>
        <c:scaling>
          <c:orientation val="minMax"/>
        </c:scaling>
        <c:delete val="0"/>
        <c:axPos val="b"/>
        <c:numFmt formatCode="General" sourceLinked="0"/>
        <c:majorTickMark val="out"/>
        <c:minorTickMark val="none"/>
        <c:tickLblPos val="nextTo"/>
        <c:txPr>
          <a:bodyPr rot="-3240000"/>
          <a:lstStyle/>
          <a:p>
            <a:pPr>
              <a:defRPr/>
            </a:pPr>
            <a:endParaRPr lang="en-US"/>
          </a:p>
        </c:txPr>
        <c:crossAx val="269941392"/>
        <c:crosses val="autoZero"/>
        <c:auto val="1"/>
        <c:lblAlgn val="ctr"/>
        <c:lblOffset val="100"/>
        <c:noMultiLvlLbl val="0"/>
      </c:catAx>
      <c:valAx>
        <c:axId val="269941392"/>
        <c:scaling>
          <c:orientation val="minMax"/>
        </c:scaling>
        <c:delete val="0"/>
        <c:axPos val="l"/>
        <c:majorGridlines/>
        <c:numFmt formatCode="General" sourceLinked="1"/>
        <c:majorTickMark val="out"/>
        <c:minorTickMark val="none"/>
        <c:tickLblPos val="nextTo"/>
        <c:crossAx val="270087528"/>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 of respondents very satisfied or satisfied with the time taken to deal with their complaint </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27</c:v>
                </c:pt>
                <c:pt idx="1">
                  <c:v>32</c:v>
                </c:pt>
                <c:pt idx="2">
                  <c:v>42</c:v>
                </c:pt>
                <c:pt idx="3">
                  <c:v>42</c:v>
                </c:pt>
                <c:pt idx="4">
                  <c:v>50</c:v>
                </c:pt>
                <c:pt idx="5">
                  <c:v>40.909999999999997</c:v>
                </c:pt>
                <c:pt idx="6">
                  <c:v>31.43</c:v>
                </c:pt>
                <c:pt idx="7">
                  <c:v>47.83</c:v>
                </c:pt>
                <c:pt idx="8">
                  <c:v>48.5</c:v>
                </c:pt>
                <c:pt idx="9">
                  <c:v>43.86</c:v>
                </c:pt>
                <c:pt idx="10">
                  <c:v>22.73</c:v>
                </c:pt>
                <c:pt idx="11">
                  <c:v>35</c:v>
                </c:pt>
                <c:pt idx="12">
                  <c:v>56.25</c:v>
                </c:pt>
                <c:pt idx="13">
                  <c:v>27.27</c:v>
                </c:pt>
                <c:pt idx="14">
                  <c:v>15.38</c:v>
                </c:pt>
                <c:pt idx="15">
                  <c:v>12.5</c:v>
                </c:pt>
                <c:pt idx="16">
                  <c:v>15.38</c:v>
                </c:pt>
                <c:pt idx="17">
                  <c:v>11</c:v>
                </c:pt>
                <c:pt idx="18">
                  <c:v>64.290000000000006</c:v>
                </c:pt>
                <c:pt idx="19">
                  <c:v>55.55</c:v>
                </c:pt>
                <c:pt idx="20">
                  <c:v>28.58</c:v>
                </c:pt>
                <c:pt idx="21">
                  <c:v>36.36</c:v>
                </c:pt>
                <c:pt idx="22">
                  <c:v>33.340000000000003</c:v>
                </c:pt>
                <c:pt idx="23">
                  <c:v>55.55</c:v>
                </c:pt>
              </c:numCache>
            </c:numRef>
          </c:val>
          <c:smooth val="0"/>
        </c:ser>
        <c:dLbls>
          <c:showLegendKey val="0"/>
          <c:showVal val="0"/>
          <c:showCatName val="0"/>
          <c:showSerName val="0"/>
          <c:showPercent val="0"/>
          <c:showBubbleSize val="0"/>
        </c:dLbls>
        <c:marker val="1"/>
        <c:smooth val="0"/>
        <c:axId val="442915400"/>
        <c:axId val="442914616"/>
      </c:lineChart>
      <c:catAx>
        <c:axId val="442915400"/>
        <c:scaling>
          <c:orientation val="minMax"/>
        </c:scaling>
        <c:delete val="0"/>
        <c:axPos val="b"/>
        <c:numFmt formatCode="General" sourceLinked="1"/>
        <c:majorTickMark val="out"/>
        <c:minorTickMark val="none"/>
        <c:tickLblPos val="nextTo"/>
        <c:txPr>
          <a:bodyPr rot="-3240000"/>
          <a:lstStyle/>
          <a:p>
            <a:pPr>
              <a:defRPr/>
            </a:pPr>
            <a:endParaRPr lang="en-US"/>
          </a:p>
        </c:txPr>
        <c:crossAx val="442914616"/>
        <c:crosses val="autoZero"/>
        <c:auto val="1"/>
        <c:lblAlgn val="ctr"/>
        <c:lblOffset val="100"/>
        <c:noMultiLvlLbl val="0"/>
      </c:catAx>
      <c:valAx>
        <c:axId val="442914616"/>
        <c:scaling>
          <c:orientation val="minMax"/>
        </c:scaling>
        <c:delete val="0"/>
        <c:axPos val="l"/>
        <c:majorGridlines/>
        <c:numFmt formatCode="General" sourceLinked="1"/>
        <c:majorTickMark val="out"/>
        <c:minorTickMark val="none"/>
        <c:tickLblPos val="nextTo"/>
        <c:crossAx val="44291540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 of respondents who said they were kept up-to-date with progress if it took longer than 5 working days to give a full response </a:t>
            </a:r>
          </a:p>
        </c:rich>
      </c:tx>
      <c:overlay val="0"/>
    </c:title>
    <c:autoTitleDeleted val="0"/>
    <c:plotArea>
      <c:layout/>
      <c:lineChart>
        <c:grouping val="standard"/>
        <c:varyColors val="0"/>
        <c:ser>
          <c:idx val="0"/>
          <c:order val="0"/>
          <c:tx>
            <c:strRef>
              <c:f>Sheet1!$B$1</c:f>
              <c:strCache>
                <c:ptCount val="1"/>
                <c:pt idx="0">
                  <c:v>% of respondents who said they were kept up-to-date with progress it it took longer than 5 working days to give a full response </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31</c:v>
                </c:pt>
                <c:pt idx="1">
                  <c:v>52</c:v>
                </c:pt>
                <c:pt idx="2">
                  <c:v>37</c:v>
                </c:pt>
                <c:pt idx="3">
                  <c:v>55</c:v>
                </c:pt>
                <c:pt idx="4">
                  <c:v>41</c:v>
                </c:pt>
                <c:pt idx="5">
                  <c:v>37.880000000000003</c:v>
                </c:pt>
                <c:pt idx="6">
                  <c:v>34.29</c:v>
                </c:pt>
                <c:pt idx="7">
                  <c:v>39.130000000000003</c:v>
                </c:pt>
                <c:pt idx="8">
                  <c:v>42.4</c:v>
                </c:pt>
                <c:pt idx="9">
                  <c:v>45.61</c:v>
                </c:pt>
                <c:pt idx="10">
                  <c:v>36.36</c:v>
                </c:pt>
                <c:pt idx="11">
                  <c:v>30</c:v>
                </c:pt>
                <c:pt idx="12">
                  <c:v>62.5</c:v>
                </c:pt>
                <c:pt idx="13">
                  <c:v>27.27</c:v>
                </c:pt>
                <c:pt idx="14">
                  <c:v>30.77</c:v>
                </c:pt>
                <c:pt idx="15">
                  <c:v>12.5</c:v>
                </c:pt>
                <c:pt idx="16">
                  <c:v>15.38</c:v>
                </c:pt>
                <c:pt idx="17">
                  <c:v>11</c:v>
                </c:pt>
                <c:pt idx="18">
                  <c:v>64.290000000000006</c:v>
                </c:pt>
                <c:pt idx="19">
                  <c:v>44.44</c:v>
                </c:pt>
                <c:pt idx="20">
                  <c:v>28.57</c:v>
                </c:pt>
                <c:pt idx="21">
                  <c:v>36.36</c:v>
                </c:pt>
                <c:pt idx="22">
                  <c:v>13.33</c:v>
                </c:pt>
                <c:pt idx="23">
                  <c:v>44.44</c:v>
                </c:pt>
              </c:numCache>
            </c:numRef>
          </c:val>
          <c:smooth val="0"/>
        </c:ser>
        <c:dLbls>
          <c:showLegendKey val="0"/>
          <c:showVal val="0"/>
          <c:showCatName val="0"/>
          <c:showSerName val="0"/>
          <c:showPercent val="0"/>
          <c:showBubbleSize val="0"/>
        </c:dLbls>
        <c:marker val="1"/>
        <c:smooth val="0"/>
        <c:axId val="442910696"/>
        <c:axId val="442546808"/>
      </c:lineChart>
      <c:catAx>
        <c:axId val="442910696"/>
        <c:scaling>
          <c:orientation val="minMax"/>
        </c:scaling>
        <c:delete val="0"/>
        <c:axPos val="b"/>
        <c:numFmt formatCode="General" sourceLinked="0"/>
        <c:majorTickMark val="out"/>
        <c:minorTickMark val="none"/>
        <c:tickLblPos val="nextTo"/>
        <c:txPr>
          <a:bodyPr rot="-3180000"/>
          <a:lstStyle/>
          <a:p>
            <a:pPr>
              <a:defRPr/>
            </a:pPr>
            <a:endParaRPr lang="en-US"/>
          </a:p>
        </c:txPr>
        <c:crossAx val="442546808"/>
        <c:crosses val="autoZero"/>
        <c:auto val="1"/>
        <c:lblAlgn val="ctr"/>
        <c:lblOffset val="100"/>
        <c:noMultiLvlLbl val="0"/>
      </c:catAx>
      <c:valAx>
        <c:axId val="442546808"/>
        <c:scaling>
          <c:orientation val="minMax"/>
        </c:scaling>
        <c:delete val="0"/>
        <c:axPos val="l"/>
        <c:majorGridlines/>
        <c:numFmt formatCode="General" sourceLinked="1"/>
        <c:majorTickMark val="out"/>
        <c:minorTickMark val="none"/>
        <c:tickLblPos val="nextTo"/>
        <c:crossAx val="44291069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 of respondents who said they were given information that was clear and easy to understand </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2015/16</c:v>
                </c:pt>
                <c:pt idx="10">
                  <c:v>Qtr 3 2015/16</c:v>
                </c:pt>
                <c:pt idx="11">
                  <c:v>Qtr 4 2015/16 </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42</c:v>
                </c:pt>
                <c:pt idx="1">
                  <c:v>52</c:v>
                </c:pt>
                <c:pt idx="2">
                  <c:v>55</c:v>
                </c:pt>
                <c:pt idx="3">
                  <c:v>65</c:v>
                </c:pt>
                <c:pt idx="4">
                  <c:v>53</c:v>
                </c:pt>
                <c:pt idx="5">
                  <c:v>53.03</c:v>
                </c:pt>
                <c:pt idx="6">
                  <c:v>37.14</c:v>
                </c:pt>
                <c:pt idx="7">
                  <c:v>52.17</c:v>
                </c:pt>
                <c:pt idx="8">
                  <c:v>54.5</c:v>
                </c:pt>
                <c:pt idx="9">
                  <c:v>54.39</c:v>
                </c:pt>
                <c:pt idx="10">
                  <c:v>40.909999999999997</c:v>
                </c:pt>
                <c:pt idx="11">
                  <c:v>45</c:v>
                </c:pt>
                <c:pt idx="12">
                  <c:v>75</c:v>
                </c:pt>
                <c:pt idx="13">
                  <c:v>63.64</c:v>
                </c:pt>
                <c:pt idx="14">
                  <c:v>46.15</c:v>
                </c:pt>
                <c:pt idx="15">
                  <c:v>50</c:v>
                </c:pt>
                <c:pt idx="16">
                  <c:v>30.77</c:v>
                </c:pt>
                <c:pt idx="17">
                  <c:v>35.71</c:v>
                </c:pt>
                <c:pt idx="18">
                  <c:v>64.290000000000006</c:v>
                </c:pt>
                <c:pt idx="19">
                  <c:v>44.44</c:v>
                </c:pt>
                <c:pt idx="20">
                  <c:v>57.14</c:v>
                </c:pt>
                <c:pt idx="21">
                  <c:v>45.45</c:v>
                </c:pt>
                <c:pt idx="22">
                  <c:v>53.33</c:v>
                </c:pt>
                <c:pt idx="23">
                  <c:v>44.44</c:v>
                </c:pt>
              </c:numCache>
            </c:numRef>
          </c:val>
          <c:smooth val="0"/>
        </c:ser>
        <c:dLbls>
          <c:showLegendKey val="0"/>
          <c:showVal val="0"/>
          <c:showCatName val="0"/>
          <c:showSerName val="0"/>
          <c:showPercent val="0"/>
          <c:showBubbleSize val="0"/>
        </c:dLbls>
        <c:marker val="1"/>
        <c:smooth val="0"/>
        <c:axId val="443348152"/>
        <c:axId val="443349328"/>
      </c:lineChart>
      <c:catAx>
        <c:axId val="443348152"/>
        <c:scaling>
          <c:orientation val="minMax"/>
        </c:scaling>
        <c:delete val="0"/>
        <c:axPos val="b"/>
        <c:numFmt formatCode="General" sourceLinked="0"/>
        <c:majorTickMark val="out"/>
        <c:minorTickMark val="none"/>
        <c:tickLblPos val="nextTo"/>
        <c:txPr>
          <a:bodyPr rot="-3120000"/>
          <a:lstStyle/>
          <a:p>
            <a:pPr>
              <a:defRPr/>
            </a:pPr>
            <a:endParaRPr lang="en-US"/>
          </a:p>
        </c:txPr>
        <c:crossAx val="443349328"/>
        <c:crosses val="autoZero"/>
        <c:auto val="1"/>
        <c:lblAlgn val="ctr"/>
        <c:lblOffset val="100"/>
        <c:noMultiLvlLbl val="0"/>
      </c:catAx>
      <c:valAx>
        <c:axId val="443349328"/>
        <c:scaling>
          <c:orientation val="minMax"/>
        </c:scaling>
        <c:delete val="0"/>
        <c:axPos val="l"/>
        <c:majorGridlines/>
        <c:numFmt formatCode="General" sourceLinked="1"/>
        <c:majorTickMark val="out"/>
        <c:minorTickMark val="none"/>
        <c:tickLblPos val="nextTo"/>
        <c:crossAx val="443348152"/>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 of respondents who said they were told who to contact if they had any queries or were unhappy with the decision </a:t>
            </a:r>
          </a:p>
        </c:rich>
      </c:tx>
      <c:overlay val="0"/>
    </c:title>
    <c:autoTitleDeleted val="0"/>
    <c:plotArea>
      <c:layout/>
      <c:lineChart>
        <c:grouping val="standard"/>
        <c:varyColors val="0"/>
        <c:ser>
          <c:idx val="0"/>
          <c:order val="0"/>
          <c:tx>
            <c:strRef>
              <c:f>Sheet1!$B$1</c:f>
              <c:strCache>
                <c:ptCount val="1"/>
                <c:pt idx="0">
                  <c:v>% of respondents who said they were told who to contact if they had any queries or were unhappy with the decision </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54</c:v>
                </c:pt>
                <c:pt idx="1">
                  <c:v>58</c:v>
                </c:pt>
                <c:pt idx="2">
                  <c:v>58</c:v>
                </c:pt>
                <c:pt idx="3">
                  <c:v>58</c:v>
                </c:pt>
                <c:pt idx="4">
                  <c:v>59</c:v>
                </c:pt>
                <c:pt idx="5">
                  <c:v>54.55</c:v>
                </c:pt>
                <c:pt idx="6">
                  <c:v>54.29</c:v>
                </c:pt>
                <c:pt idx="7">
                  <c:v>69.569999999999993</c:v>
                </c:pt>
                <c:pt idx="8">
                  <c:v>54.5</c:v>
                </c:pt>
                <c:pt idx="9">
                  <c:v>56.14</c:v>
                </c:pt>
                <c:pt idx="10">
                  <c:v>40.909999999999997</c:v>
                </c:pt>
                <c:pt idx="11">
                  <c:v>40</c:v>
                </c:pt>
                <c:pt idx="12">
                  <c:v>62.5</c:v>
                </c:pt>
                <c:pt idx="13">
                  <c:v>54.55</c:v>
                </c:pt>
                <c:pt idx="14">
                  <c:v>69.23</c:v>
                </c:pt>
                <c:pt idx="15">
                  <c:v>62.5</c:v>
                </c:pt>
                <c:pt idx="16">
                  <c:v>38.46</c:v>
                </c:pt>
                <c:pt idx="17">
                  <c:v>33</c:v>
                </c:pt>
                <c:pt idx="18">
                  <c:v>78.569999999999993</c:v>
                </c:pt>
                <c:pt idx="19">
                  <c:v>55.56</c:v>
                </c:pt>
                <c:pt idx="20">
                  <c:v>42.86</c:v>
                </c:pt>
                <c:pt idx="21">
                  <c:v>90.91</c:v>
                </c:pt>
                <c:pt idx="22">
                  <c:v>46.67</c:v>
                </c:pt>
                <c:pt idx="23">
                  <c:v>55.56</c:v>
                </c:pt>
              </c:numCache>
            </c:numRef>
          </c:val>
          <c:smooth val="0"/>
        </c:ser>
        <c:dLbls>
          <c:showLegendKey val="0"/>
          <c:showVal val="0"/>
          <c:showCatName val="0"/>
          <c:showSerName val="0"/>
          <c:showPercent val="0"/>
          <c:showBubbleSize val="0"/>
        </c:dLbls>
        <c:marker val="1"/>
        <c:smooth val="0"/>
        <c:axId val="443347760"/>
        <c:axId val="443346584"/>
      </c:lineChart>
      <c:catAx>
        <c:axId val="443347760"/>
        <c:scaling>
          <c:orientation val="minMax"/>
        </c:scaling>
        <c:delete val="0"/>
        <c:axPos val="b"/>
        <c:numFmt formatCode="General" sourceLinked="0"/>
        <c:majorTickMark val="out"/>
        <c:minorTickMark val="none"/>
        <c:tickLblPos val="nextTo"/>
        <c:txPr>
          <a:bodyPr rot="-3060000"/>
          <a:lstStyle/>
          <a:p>
            <a:pPr>
              <a:defRPr/>
            </a:pPr>
            <a:endParaRPr lang="en-US"/>
          </a:p>
        </c:txPr>
        <c:crossAx val="443346584"/>
        <c:crosses val="autoZero"/>
        <c:auto val="1"/>
        <c:lblAlgn val="ctr"/>
        <c:lblOffset val="100"/>
        <c:noMultiLvlLbl val="0"/>
      </c:catAx>
      <c:valAx>
        <c:axId val="443346584"/>
        <c:scaling>
          <c:orientation val="minMax"/>
        </c:scaling>
        <c:delete val="0"/>
        <c:axPos val="l"/>
        <c:majorGridlines/>
        <c:numFmt formatCode="General" sourceLinked="1"/>
        <c:majorTickMark val="out"/>
        <c:minorTickMark val="none"/>
        <c:tickLblPos val="nextTo"/>
        <c:crossAx val="443347760"/>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GB"/>
              <a:t>% of respondents very satisfied or satisfied that, even if they did not get the outcome they wanted, their complaint was taken seriously by the Council</a:t>
            </a:r>
          </a:p>
        </c:rich>
      </c:tx>
      <c:overlay val="0"/>
    </c:title>
    <c:autoTitleDeleted val="0"/>
    <c:plotArea>
      <c:layout/>
      <c:lineChart>
        <c:grouping val="standard"/>
        <c:varyColors val="0"/>
        <c:ser>
          <c:idx val="0"/>
          <c:order val="0"/>
          <c:tx>
            <c:strRef>
              <c:f>Sheet1!$B$1</c:f>
              <c:strCache>
                <c:ptCount val="1"/>
                <c:pt idx="0">
                  <c:v>% of respondents very satisfied or satisfied that, even if they did not get the outcome they wanted, their complaint was taken seriously by the Council</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2105/16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31</c:v>
                </c:pt>
                <c:pt idx="1">
                  <c:v>42</c:v>
                </c:pt>
                <c:pt idx="2">
                  <c:v>53</c:v>
                </c:pt>
                <c:pt idx="3">
                  <c:v>39</c:v>
                </c:pt>
                <c:pt idx="4">
                  <c:v>39</c:v>
                </c:pt>
                <c:pt idx="5">
                  <c:v>34.85</c:v>
                </c:pt>
                <c:pt idx="6">
                  <c:v>31.43</c:v>
                </c:pt>
                <c:pt idx="7">
                  <c:v>34.79</c:v>
                </c:pt>
                <c:pt idx="8">
                  <c:v>42.4</c:v>
                </c:pt>
                <c:pt idx="9">
                  <c:v>36.85</c:v>
                </c:pt>
                <c:pt idx="10">
                  <c:v>22.73</c:v>
                </c:pt>
                <c:pt idx="11">
                  <c:v>30</c:v>
                </c:pt>
                <c:pt idx="12">
                  <c:v>43.75</c:v>
                </c:pt>
                <c:pt idx="13">
                  <c:v>27.27</c:v>
                </c:pt>
                <c:pt idx="14">
                  <c:v>23.07</c:v>
                </c:pt>
                <c:pt idx="15">
                  <c:v>37.5</c:v>
                </c:pt>
                <c:pt idx="16">
                  <c:v>30.76</c:v>
                </c:pt>
                <c:pt idx="17">
                  <c:v>22</c:v>
                </c:pt>
                <c:pt idx="18">
                  <c:v>42.85</c:v>
                </c:pt>
                <c:pt idx="19">
                  <c:v>28.57</c:v>
                </c:pt>
                <c:pt idx="20">
                  <c:v>28.58</c:v>
                </c:pt>
                <c:pt idx="21">
                  <c:v>27.27</c:v>
                </c:pt>
                <c:pt idx="22">
                  <c:v>20</c:v>
                </c:pt>
                <c:pt idx="23">
                  <c:v>33.33</c:v>
                </c:pt>
              </c:numCache>
            </c:numRef>
          </c:val>
          <c:smooth val="0"/>
        </c:ser>
        <c:dLbls>
          <c:showLegendKey val="0"/>
          <c:showVal val="0"/>
          <c:showCatName val="0"/>
          <c:showSerName val="0"/>
          <c:showPercent val="0"/>
          <c:showBubbleSize val="0"/>
        </c:dLbls>
        <c:marker val="1"/>
        <c:smooth val="0"/>
        <c:axId val="443353640"/>
        <c:axId val="443350504"/>
      </c:lineChart>
      <c:catAx>
        <c:axId val="443353640"/>
        <c:scaling>
          <c:orientation val="minMax"/>
        </c:scaling>
        <c:delete val="0"/>
        <c:axPos val="b"/>
        <c:numFmt formatCode="General" sourceLinked="0"/>
        <c:majorTickMark val="out"/>
        <c:minorTickMark val="none"/>
        <c:tickLblPos val="nextTo"/>
        <c:txPr>
          <a:bodyPr rot="-2940000"/>
          <a:lstStyle/>
          <a:p>
            <a:pPr>
              <a:defRPr/>
            </a:pPr>
            <a:endParaRPr lang="en-US"/>
          </a:p>
        </c:txPr>
        <c:crossAx val="443350504"/>
        <c:crosses val="autoZero"/>
        <c:auto val="1"/>
        <c:lblAlgn val="ctr"/>
        <c:lblOffset val="100"/>
        <c:noMultiLvlLbl val="0"/>
      </c:catAx>
      <c:valAx>
        <c:axId val="443350504"/>
        <c:scaling>
          <c:orientation val="minMax"/>
        </c:scaling>
        <c:delete val="0"/>
        <c:axPos val="l"/>
        <c:majorGridlines/>
        <c:numFmt formatCode="General" sourceLinked="1"/>
        <c:majorTickMark val="out"/>
        <c:minorTickMark val="none"/>
        <c:tickLblPos val="nextTo"/>
        <c:crossAx val="443353640"/>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 of respondents very satisfied or satisfied that they were given a clear explanation of the reason for the Council's decision </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2105/16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27</c:v>
                </c:pt>
                <c:pt idx="1">
                  <c:v>29</c:v>
                </c:pt>
                <c:pt idx="2">
                  <c:v>42</c:v>
                </c:pt>
                <c:pt idx="3">
                  <c:v>36</c:v>
                </c:pt>
                <c:pt idx="4">
                  <c:v>27</c:v>
                </c:pt>
                <c:pt idx="5">
                  <c:v>28.79</c:v>
                </c:pt>
                <c:pt idx="6">
                  <c:v>25.72</c:v>
                </c:pt>
                <c:pt idx="7">
                  <c:v>26.09</c:v>
                </c:pt>
                <c:pt idx="8">
                  <c:v>27.3</c:v>
                </c:pt>
                <c:pt idx="9">
                  <c:v>28.07</c:v>
                </c:pt>
                <c:pt idx="10">
                  <c:v>9.1</c:v>
                </c:pt>
                <c:pt idx="11">
                  <c:v>25</c:v>
                </c:pt>
                <c:pt idx="12">
                  <c:v>37.5</c:v>
                </c:pt>
                <c:pt idx="13">
                  <c:v>27.27</c:v>
                </c:pt>
                <c:pt idx="14">
                  <c:v>15.38</c:v>
                </c:pt>
                <c:pt idx="15">
                  <c:v>25</c:v>
                </c:pt>
                <c:pt idx="16">
                  <c:v>23.07</c:v>
                </c:pt>
                <c:pt idx="17">
                  <c:v>17</c:v>
                </c:pt>
                <c:pt idx="18">
                  <c:v>42.86</c:v>
                </c:pt>
                <c:pt idx="19">
                  <c:v>28.58</c:v>
                </c:pt>
                <c:pt idx="20">
                  <c:v>42.86</c:v>
                </c:pt>
                <c:pt idx="21">
                  <c:v>27.27</c:v>
                </c:pt>
                <c:pt idx="22">
                  <c:v>33.340000000000003</c:v>
                </c:pt>
                <c:pt idx="23">
                  <c:v>33.33</c:v>
                </c:pt>
              </c:numCache>
            </c:numRef>
          </c:val>
          <c:smooth val="0"/>
        </c:ser>
        <c:dLbls>
          <c:showLegendKey val="0"/>
          <c:showVal val="0"/>
          <c:showCatName val="0"/>
          <c:showSerName val="0"/>
          <c:showPercent val="0"/>
          <c:showBubbleSize val="0"/>
        </c:dLbls>
        <c:marker val="1"/>
        <c:smooth val="0"/>
        <c:axId val="443347368"/>
        <c:axId val="443348936"/>
      </c:lineChart>
      <c:catAx>
        <c:axId val="443347368"/>
        <c:scaling>
          <c:orientation val="minMax"/>
        </c:scaling>
        <c:delete val="0"/>
        <c:axPos val="b"/>
        <c:numFmt formatCode="General" sourceLinked="0"/>
        <c:majorTickMark val="out"/>
        <c:minorTickMark val="none"/>
        <c:tickLblPos val="nextTo"/>
        <c:txPr>
          <a:bodyPr rot="-3000000"/>
          <a:lstStyle/>
          <a:p>
            <a:pPr>
              <a:defRPr/>
            </a:pPr>
            <a:endParaRPr lang="en-US"/>
          </a:p>
        </c:txPr>
        <c:crossAx val="443348936"/>
        <c:crosses val="autoZero"/>
        <c:auto val="1"/>
        <c:lblAlgn val="ctr"/>
        <c:lblOffset val="100"/>
        <c:noMultiLvlLbl val="0"/>
      </c:catAx>
      <c:valAx>
        <c:axId val="443348936"/>
        <c:scaling>
          <c:orientation val="minMax"/>
        </c:scaling>
        <c:delete val="0"/>
        <c:axPos val="l"/>
        <c:majorGridlines/>
        <c:numFmt formatCode="General" sourceLinked="1"/>
        <c:majorTickMark val="out"/>
        <c:minorTickMark val="none"/>
        <c:tickLblPos val="nextTo"/>
        <c:crossAx val="443347368"/>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468298884514432E-2"/>
          <c:y val="2.8956202538739598E-2"/>
          <c:w val="0.78851199914003922"/>
          <c:h val="0.56318549272250062"/>
        </c:manualLayout>
      </c:layout>
      <c:lineChart>
        <c:grouping val="standard"/>
        <c:varyColors val="0"/>
        <c:ser>
          <c:idx val="0"/>
          <c:order val="0"/>
          <c:tx>
            <c:strRef>
              <c:f>Sheet1!$B$1</c:f>
              <c:strCache>
                <c:ptCount val="1"/>
                <c:pt idx="0">
                  <c:v>Within 5 working days</c:v>
                </c:pt>
              </c:strCache>
            </c:strRef>
          </c:tx>
          <c:cat>
            <c:strRef>
              <c:f>Sheet1!$A$2:$A$25</c:f>
              <c:strCache>
                <c:ptCount val="24"/>
                <c:pt idx="0">
                  <c:v>Qtr 1 2013/14</c:v>
                </c:pt>
                <c:pt idx="1">
                  <c:v>Qtr 2 2013/14</c:v>
                </c:pt>
                <c:pt idx="2">
                  <c:v>Qtr 3 2013/14</c:v>
                </c:pt>
                <c:pt idx="3">
                  <c:v>Qtr 4 2013/14</c:v>
                </c:pt>
                <c:pt idx="4">
                  <c:v>Qtr 1 2014/15</c:v>
                </c:pt>
                <c:pt idx="5">
                  <c:v>Qtr2 2014/15</c:v>
                </c:pt>
                <c:pt idx="6">
                  <c:v>Qtr 3 2014/15</c:v>
                </c:pt>
                <c:pt idx="7">
                  <c:v>Qtr4 2014/15</c:v>
                </c:pt>
                <c:pt idx="8">
                  <c:v>Qtr 1 2015/16</c:v>
                </c:pt>
                <c:pt idx="9">
                  <c:v>Qtr 2 2015/16</c:v>
                </c:pt>
                <c:pt idx="10">
                  <c:v>Qtr 3 2015/16</c:v>
                </c:pt>
                <c:pt idx="11">
                  <c:v>Qtr 4 2015/16</c:v>
                </c:pt>
                <c:pt idx="12">
                  <c:v>Qtr 1 2016/17</c:v>
                </c:pt>
                <c:pt idx="13">
                  <c:v>Qtr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53.2</c:v>
                </c:pt>
                <c:pt idx="1">
                  <c:v>70.599999999999994</c:v>
                </c:pt>
                <c:pt idx="2">
                  <c:v>49.6</c:v>
                </c:pt>
                <c:pt idx="3">
                  <c:v>50.4</c:v>
                </c:pt>
                <c:pt idx="4">
                  <c:v>50</c:v>
                </c:pt>
                <c:pt idx="5">
                  <c:v>57.5</c:v>
                </c:pt>
                <c:pt idx="6">
                  <c:v>60.6</c:v>
                </c:pt>
                <c:pt idx="7">
                  <c:v>67</c:v>
                </c:pt>
                <c:pt idx="8">
                  <c:v>64.3</c:v>
                </c:pt>
                <c:pt idx="9">
                  <c:v>51</c:v>
                </c:pt>
                <c:pt idx="10">
                  <c:v>70.900000000000006</c:v>
                </c:pt>
                <c:pt idx="11">
                  <c:v>69.900000000000006</c:v>
                </c:pt>
                <c:pt idx="12">
                  <c:v>59.4</c:v>
                </c:pt>
                <c:pt idx="13">
                  <c:v>60.9</c:v>
                </c:pt>
                <c:pt idx="14">
                  <c:v>60.4</c:v>
                </c:pt>
                <c:pt idx="15">
                  <c:v>68.900000000000006</c:v>
                </c:pt>
                <c:pt idx="16">
                  <c:v>63.3</c:v>
                </c:pt>
                <c:pt idx="17">
                  <c:v>64.5</c:v>
                </c:pt>
                <c:pt idx="18">
                  <c:v>65.599999999999994</c:v>
                </c:pt>
                <c:pt idx="19">
                  <c:v>60.9</c:v>
                </c:pt>
                <c:pt idx="20">
                  <c:v>67.599999999999994</c:v>
                </c:pt>
                <c:pt idx="21">
                  <c:v>74</c:v>
                </c:pt>
                <c:pt idx="22">
                  <c:v>66.900000000000006</c:v>
                </c:pt>
                <c:pt idx="23">
                  <c:v>64.900000000000006</c:v>
                </c:pt>
              </c:numCache>
            </c:numRef>
          </c:val>
          <c:smooth val="0"/>
        </c:ser>
        <c:ser>
          <c:idx val="1"/>
          <c:order val="1"/>
          <c:tx>
            <c:strRef>
              <c:f>Sheet1!$C$1</c:f>
              <c:strCache>
                <c:ptCount val="1"/>
                <c:pt idx="0">
                  <c:v>Within extended target</c:v>
                </c:pt>
              </c:strCache>
            </c:strRef>
          </c:tx>
          <c:cat>
            <c:strRef>
              <c:f>Sheet1!$A$2:$A$25</c:f>
              <c:strCache>
                <c:ptCount val="24"/>
                <c:pt idx="0">
                  <c:v>Qtr 1 2013/14</c:v>
                </c:pt>
                <c:pt idx="1">
                  <c:v>Qtr 2 2013/14</c:v>
                </c:pt>
                <c:pt idx="2">
                  <c:v>Qtr 3 2013/14</c:v>
                </c:pt>
                <c:pt idx="3">
                  <c:v>Qtr 4 2013/14</c:v>
                </c:pt>
                <c:pt idx="4">
                  <c:v>Qtr 1 2014/15</c:v>
                </c:pt>
                <c:pt idx="5">
                  <c:v>Qtr2 2014/15</c:v>
                </c:pt>
                <c:pt idx="6">
                  <c:v>Qtr 3 2014/15</c:v>
                </c:pt>
                <c:pt idx="7">
                  <c:v>Qtr4 2014/15</c:v>
                </c:pt>
                <c:pt idx="8">
                  <c:v>Qtr 1 2015/16</c:v>
                </c:pt>
                <c:pt idx="9">
                  <c:v>Qtr 2 2015/16</c:v>
                </c:pt>
                <c:pt idx="10">
                  <c:v>Qtr 3 2015/16</c:v>
                </c:pt>
                <c:pt idx="11">
                  <c:v>Qtr 4 2015/16</c:v>
                </c:pt>
                <c:pt idx="12">
                  <c:v>Qtr 1 2016/17</c:v>
                </c:pt>
                <c:pt idx="13">
                  <c:v>Qtr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Sheet1!$C$2:$C$25</c:f>
              <c:numCache>
                <c:formatCode>General</c:formatCode>
                <c:ptCount val="24"/>
                <c:pt idx="0">
                  <c:v>24.7</c:v>
                </c:pt>
                <c:pt idx="1">
                  <c:v>21.8</c:v>
                </c:pt>
                <c:pt idx="2">
                  <c:v>23.6</c:v>
                </c:pt>
                <c:pt idx="3">
                  <c:v>34</c:v>
                </c:pt>
                <c:pt idx="4">
                  <c:v>37.299999999999997</c:v>
                </c:pt>
                <c:pt idx="5">
                  <c:v>31.3</c:v>
                </c:pt>
                <c:pt idx="6">
                  <c:v>26.9</c:v>
                </c:pt>
                <c:pt idx="7">
                  <c:v>19</c:v>
                </c:pt>
                <c:pt idx="8">
                  <c:v>11.6</c:v>
                </c:pt>
                <c:pt idx="9">
                  <c:v>19.8</c:v>
                </c:pt>
                <c:pt idx="10">
                  <c:v>9.3000000000000007</c:v>
                </c:pt>
                <c:pt idx="11">
                  <c:v>7.1</c:v>
                </c:pt>
                <c:pt idx="12">
                  <c:v>7.5</c:v>
                </c:pt>
                <c:pt idx="13">
                  <c:v>6.9</c:v>
                </c:pt>
                <c:pt idx="14">
                  <c:v>10.199999999999999</c:v>
                </c:pt>
                <c:pt idx="15">
                  <c:v>13.2</c:v>
                </c:pt>
                <c:pt idx="16">
                  <c:v>15.6</c:v>
                </c:pt>
                <c:pt idx="17">
                  <c:v>5.7</c:v>
                </c:pt>
                <c:pt idx="18">
                  <c:v>6.4</c:v>
                </c:pt>
                <c:pt idx="19">
                  <c:v>6.2</c:v>
                </c:pt>
                <c:pt idx="20">
                  <c:v>10.1</c:v>
                </c:pt>
                <c:pt idx="21">
                  <c:v>7.1</c:v>
                </c:pt>
                <c:pt idx="22">
                  <c:v>6.8</c:v>
                </c:pt>
                <c:pt idx="23">
                  <c:v>9.1999999999999993</c:v>
                </c:pt>
              </c:numCache>
            </c:numRef>
          </c:val>
          <c:smooth val="0"/>
        </c:ser>
        <c:dLbls>
          <c:showLegendKey val="0"/>
          <c:showVal val="0"/>
          <c:showCatName val="0"/>
          <c:showSerName val="0"/>
          <c:showPercent val="0"/>
          <c:showBubbleSize val="0"/>
        </c:dLbls>
        <c:marker val="1"/>
        <c:smooth val="0"/>
        <c:axId val="14588400"/>
        <c:axId val="442464824"/>
      </c:lineChart>
      <c:catAx>
        <c:axId val="14588400"/>
        <c:scaling>
          <c:orientation val="minMax"/>
        </c:scaling>
        <c:delete val="0"/>
        <c:axPos val="b"/>
        <c:numFmt formatCode="General" sourceLinked="1"/>
        <c:majorTickMark val="out"/>
        <c:minorTickMark val="none"/>
        <c:tickLblPos val="nextTo"/>
        <c:txPr>
          <a:bodyPr rot="-3060000"/>
          <a:lstStyle/>
          <a:p>
            <a:pPr>
              <a:defRPr sz="900"/>
            </a:pPr>
            <a:endParaRPr lang="en-US"/>
          </a:p>
        </c:txPr>
        <c:crossAx val="442464824"/>
        <c:crosses val="autoZero"/>
        <c:auto val="1"/>
        <c:lblAlgn val="ctr"/>
        <c:lblOffset val="100"/>
        <c:noMultiLvlLbl val="0"/>
      </c:catAx>
      <c:valAx>
        <c:axId val="442464824"/>
        <c:scaling>
          <c:orientation val="minMax"/>
        </c:scaling>
        <c:delete val="0"/>
        <c:axPos val="l"/>
        <c:majorGridlines/>
        <c:numFmt formatCode="General" sourceLinked="1"/>
        <c:majorTickMark val="out"/>
        <c:minorTickMark val="none"/>
        <c:tickLblPos val="nextTo"/>
        <c:crossAx val="14588400"/>
        <c:crosses val="autoZero"/>
        <c:crossBetween val="between"/>
      </c:valAx>
    </c:plotArea>
    <c:legend>
      <c:legendPos val="r"/>
      <c:layout>
        <c:manualLayout>
          <c:xMode val="edge"/>
          <c:yMode val="edge"/>
          <c:x val="0.84102209920005722"/>
          <c:y val="0.2055223097112861"/>
          <c:w val="0.15697813370598299"/>
          <c:h val="0.40874979718444276"/>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4468298884514432E-2"/>
          <c:y val="2.8956202538739598E-2"/>
          <c:w val="0.76068693522272801"/>
          <c:h val="0.77310094245336758"/>
        </c:manualLayout>
      </c:layout>
      <c:lineChart>
        <c:grouping val="standard"/>
        <c:varyColors val="0"/>
        <c:ser>
          <c:idx val="0"/>
          <c:order val="0"/>
          <c:tx>
            <c:strRef>
              <c:f>Sheet1!$B$1</c:f>
              <c:strCache>
                <c:ptCount val="1"/>
                <c:pt idx="0">
                  <c:v>Within 5 working days</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53.2</c:v>
                </c:pt>
                <c:pt idx="1">
                  <c:v>70.599999999999994</c:v>
                </c:pt>
                <c:pt idx="2">
                  <c:v>49.6</c:v>
                </c:pt>
                <c:pt idx="3">
                  <c:v>50.4</c:v>
                </c:pt>
                <c:pt idx="4">
                  <c:v>50</c:v>
                </c:pt>
                <c:pt idx="5">
                  <c:v>57.5</c:v>
                </c:pt>
                <c:pt idx="6">
                  <c:v>60.6</c:v>
                </c:pt>
                <c:pt idx="7">
                  <c:v>67</c:v>
                </c:pt>
                <c:pt idx="8">
                  <c:v>64.3</c:v>
                </c:pt>
                <c:pt idx="9">
                  <c:v>51</c:v>
                </c:pt>
                <c:pt idx="10">
                  <c:v>70.900000000000006</c:v>
                </c:pt>
                <c:pt idx="11">
                  <c:v>69.900000000000006</c:v>
                </c:pt>
                <c:pt idx="12">
                  <c:v>59.4</c:v>
                </c:pt>
                <c:pt idx="13">
                  <c:v>60.9</c:v>
                </c:pt>
                <c:pt idx="14">
                  <c:v>60.4</c:v>
                </c:pt>
                <c:pt idx="15">
                  <c:v>68.900000000000006</c:v>
                </c:pt>
                <c:pt idx="16">
                  <c:v>63.3</c:v>
                </c:pt>
                <c:pt idx="17">
                  <c:v>64.5</c:v>
                </c:pt>
                <c:pt idx="18">
                  <c:v>65.599999999999994</c:v>
                </c:pt>
                <c:pt idx="19">
                  <c:v>60.9</c:v>
                </c:pt>
                <c:pt idx="20">
                  <c:v>67.599999999999994</c:v>
                </c:pt>
                <c:pt idx="21">
                  <c:v>74</c:v>
                </c:pt>
                <c:pt idx="22">
                  <c:v>66.900000000000006</c:v>
                </c:pt>
                <c:pt idx="23">
                  <c:v>64.900000000000006</c:v>
                </c:pt>
              </c:numCache>
            </c:numRef>
          </c:val>
          <c:smooth val="0"/>
        </c:ser>
        <c:ser>
          <c:idx val="1"/>
          <c:order val="1"/>
          <c:tx>
            <c:strRef>
              <c:f>Sheet1!$C$1</c:f>
              <c:strCache>
                <c:ptCount val="1"/>
                <c:pt idx="0">
                  <c:v>Within extended target</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Sheet1!$C$2:$C$25</c:f>
              <c:numCache>
                <c:formatCode>General</c:formatCode>
                <c:ptCount val="24"/>
                <c:pt idx="0">
                  <c:v>24.7</c:v>
                </c:pt>
                <c:pt idx="1">
                  <c:v>21.8</c:v>
                </c:pt>
                <c:pt idx="2">
                  <c:v>23.6</c:v>
                </c:pt>
                <c:pt idx="3">
                  <c:v>34</c:v>
                </c:pt>
                <c:pt idx="4">
                  <c:v>37.299999999999997</c:v>
                </c:pt>
                <c:pt idx="5">
                  <c:v>31.3</c:v>
                </c:pt>
                <c:pt idx="6">
                  <c:v>26.9</c:v>
                </c:pt>
                <c:pt idx="7">
                  <c:v>19</c:v>
                </c:pt>
                <c:pt idx="8">
                  <c:v>11.6</c:v>
                </c:pt>
                <c:pt idx="9">
                  <c:v>19.8</c:v>
                </c:pt>
                <c:pt idx="10">
                  <c:v>9.3000000000000007</c:v>
                </c:pt>
                <c:pt idx="11">
                  <c:v>7.1</c:v>
                </c:pt>
                <c:pt idx="12">
                  <c:v>7.5</c:v>
                </c:pt>
                <c:pt idx="13">
                  <c:v>6.9</c:v>
                </c:pt>
                <c:pt idx="14">
                  <c:v>10.199999999999999</c:v>
                </c:pt>
                <c:pt idx="15">
                  <c:v>13.2</c:v>
                </c:pt>
                <c:pt idx="16">
                  <c:v>15.6</c:v>
                </c:pt>
                <c:pt idx="17">
                  <c:v>5.7</c:v>
                </c:pt>
                <c:pt idx="18">
                  <c:v>6.4</c:v>
                </c:pt>
                <c:pt idx="19">
                  <c:v>6.2</c:v>
                </c:pt>
                <c:pt idx="20">
                  <c:v>10.1</c:v>
                </c:pt>
                <c:pt idx="21">
                  <c:v>7.1</c:v>
                </c:pt>
                <c:pt idx="22">
                  <c:v>6.8</c:v>
                </c:pt>
                <c:pt idx="23">
                  <c:v>9.1999999999999993</c:v>
                </c:pt>
              </c:numCache>
            </c:numRef>
          </c:val>
          <c:smooth val="0"/>
        </c:ser>
        <c:dLbls>
          <c:showLegendKey val="0"/>
          <c:showVal val="0"/>
          <c:showCatName val="0"/>
          <c:showSerName val="0"/>
          <c:showPercent val="0"/>
          <c:showBubbleSize val="0"/>
        </c:dLbls>
        <c:marker val="1"/>
        <c:smooth val="0"/>
        <c:axId val="443006112"/>
        <c:axId val="442547592"/>
      </c:lineChart>
      <c:catAx>
        <c:axId val="443006112"/>
        <c:scaling>
          <c:orientation val="minMax"/>
        </c:scaling>
        <c:delete val="0"/>
        <c:axPos val="b"/>
        <c:numFmt formatCode="General" sourceLinked="1"/>
        <c:majorTickMark val="out"/>
        <c:minorTickMark val="none"/>
        <c:tickLblPos val="nextTo"/>
        <c:txPr>
          <a:bodyPr rot="-3060000"/>
          <a:lstStyle/>
          <a:p>
            <a:pPr>
              <a:defRPr/>
            </a:pPr>
            <a:endParaRPr lang="en-US"/>
          </a:p>
        </c:txPr>
        <c:crossAx val="442547592"/>
        <c:crosses val="autoZero"/>
        <c:auto val="1"/>
        <c:lblAlgn val="ctr"/>
        <c:lblOffset val="100"/>
        <c:noMultiLvlLbl val="0"/>
      </c:catAx>
      <c:valAx>
        <c:axId val="442547592"/>
        <c:scaling>
          <c:orientation val="minMax"/>
        </c:scaling>
        <c:delete val="0"/>
        <c:axPos val="l"/>
        <c:majorGridlines/>
        <c:numFmt formatCode="General" sourceLinked="1"/>
        <c:majorTickMark val="out"/>
        <c:minorTickMark val="none"/>
        <c:tickLblPos val="nextTo"/>
        <c:crossAx val="443006112"/>
        <c:crosses val="autoZero"/>
        <c:crossBetween val="between"/>
      </c:valAx>
    </c:plotArea>
    <c:legend>
      <c:legendPos val="r"/>
      <c:layout>
        <c:manualLayout>
          <c:xMode val="edge"/>
          <c:yMode val="edge"/>
          <c:x val="0.83334837099668346"/>
          <c:y val="0.20566771850147944"/>
          <c:w val="0.15388714372039172"/>
          <c:h val="0.41359822904699189"/>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671342406702473E-2"/>
          <c:y val="8.08146577831617E-2"/>
          <c:w val="0.72801734744094482"/>
          <c:h val="0.60738517060367458"/>
        </c:manualLayout>
      </c:layout>
      <c:lineChart>
        <c:grouping val="standard"/>
        <c:varyColors val="0"/>
        <c:ser>
          <c:idx val="0"/>
          <c:order val="0"/>
          <c:tx>
            <c:strRef>
              <c:f>Sheet1!$B$1</c:f>
              <c:strCache>
                <c:ptCount val="1"/>
                <c:pt idx="0">
                  <c:v>Within 20 working days</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87.5</c:v>
                </c:pt>
                <c:pt idx="1">
                  <c:v>77.8</c:v>
                </c:pt>
                <c:pt idx="2">
                  <c:v>61.5</c:v>
                </c:pt>
                <c:pt idx="3">
                  <c:v>66.7</c:v>
                </c:pt>
                <c:pt idx="4">
                  <c:v>92.9</c:v>
                </c:pt>
                <c:pt idx="5">
                  <c:v>87.5</c:v>
                </c:pt>
                <c:pt idx="6">
                  <c:v>70.8</c:v>
                </c:pt>
                <c:pt idx="7">
                  <c:v>90</c:v>
                </c:pt>
                <c:pt idx="8">
                  <c:v>43.5</c:v>
                </c:pt>
                <c:pt idx="9">
                  <c:v>60.1</c:v>
                </c:pt>
                <c:pt idx="10">
                  <c:v>61.1</c:v>
                </c:pt>
                <c:pt idx="11">
                  <c:v>75</c:v>
                </c:pt>
                <c:pt idx="12">
                  <c:v>73.099999999999994</c:v>
                </c:pt>
                <c:pt idx="13">
                  <c:v>66.7</c:v>
                </c:pt>
                <c:pt idx="14">
                  <c:v>58.8</c:v>
                </c:pt>
                <c:pt idx="15">
                  <c:v>75</c:v>
                </c:pt>
                <c:pt idx="16">
                  <c:v>69.2</c:v>
                </c:pt>
                <c:pt idx="17">
                  <c:v>61.1</c:v>
                </c:pt>
                <c:pt idx="18">
                  <c:v>60</c:v>
                </c:pt>
                <c:pt idx="19">
                  <c:v>21.9</c:v>
                </c:pt>
                <c:pt idx="20">
                  <c:v>63.9</c:v>
                </c:pt>
                <c:pt idx="21">
                  <c:v>52.6</c:v>
                </c:pt>
                <c:pt idx="22">
                  <c:v>54.3</c:v>
                </c:pt>
                <c:pt idx="23">
                  <c:v>61.8</c:v>
                </c:pt>
              </c:numCache>
            </c:numRef>
          </c:val>
          <c:smooth val="0"/>
        </c:ser>
        <c:ser>
          <c:idx val="1"/>
          <c:order val="1"/>
          <c:tx>
            <c:strRef>
              <c:f>Sheet1!$C$1</c:f>
              <c:strCache>
                <c:ptCount val="1"/>
                <c:pt idx="0">
                  <c:v>Within extended target</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Sheet1!$C$2:$C$25</c:f>
              <c:numCache>
                <c:formatCode>General</c:formatCode>
                <c:ptCount val="24"/>
                <c:pt idx="0">
                  <c:v>12.5</c:v>
                </c:pt>
                <c:pt idx="1">
                  <c:v>0</c:v>
                </c:pt>
                <c:pt idx="2">
                  <c:v>7.7</c:v>
                </c:pt>
                <c:pt idx="3">
                  <c:v>25</c:v>
                </c:pt>
                <c:pt idx="4">
                  <c:v>0</c:v>
                </c:pt>
                <c:pt idx="5">
                  <c:v>0</c:v>
                </c:pt>
                <c:pt idx="6">
                  <c:v>20.8</c:v>
                </c:pt>
                <c:pt idx="7">
                  <c:v>1</c:v>
                </c:pt>
                <c:pt idx="8">
                  <c:v>26.1</c:v>
                </c:pt>
                <c:pt idx="9">
                  <c:v>26.1</c:v>
                </c:pt>
                <c:pt idx="10">
                  <c:v>5.6</c:v>
                </c:pt>
                <c:pt idx="11">
                  <c:v>12.5</c:v>
                </c:pt>
                <c:pt idx="12">
                  <c:v>19.2</c:v>
                </c:pt>
                <c:pt idx="13">
                  <c:v>20</c:v>
                </c:pt>
                <c:pt idx="14">
                  <c:v>23.5</c:v>
                </c:pt>
                <c:pt idx="15">
                  <c:v>15</c:v>
                </c:pt>
                <c:pt idx="16">
                  <c:v>19.2</c:v>
                </c:pt>
                <c:pt idx="17">
                  <c:v>27.8</c:v>
                </c:pt>
                <c:pt idx="18">
                  <c:v>10</c:v>
                </c:pt>
                <c:pt idx="19">
                  <c:v>16.399999999999999</c:v>
                </c:pt>
                <c:pt idx="20">
                  <c:v>27.8</c:v>
                </c:pt>
                <c:pt idx="21">
                  <c:v>36.799999999999997</c:v>
                </c:pt>
                <c:pt idx="22">
                  <c:v>30.4</c:v>
                </c:pt>
                <c:pt idx="23">
                  <c:v>26.5</c:v>
                </c:pt>
              </c:numCache>
            </c:numRef>
          </c:val>
          <c:smooth val="0"/>
        </c:ser>
        <c:dLbls>
          <c:showLegendKey val="0"/>
          <c:showVal val="0"/>
          <c:showCatName val="0"/>
          <c:showSerName val="0"/>
          <c:showPercent val="0"/>
          <c:showBubbleSize val="0"/>
        </c:dLbls>
        <c:marker val="1"/>
        <c:smooth val="0"/>
        <c:axId val="442552688"/>
        <c:axId val="442551512"/>
      </c:lineChart>
      <c:catAx>
        <c:axId val="442552688"/>
        <c:scaling>
          <c:orientation val="minMax"/>
        </c:scaling>
        <c:delete val="0"/>
        <c:axPos val="b"/>
        <c:numFmt formatCode="General" sourceLinked="0"/>
        <c:majorTickMark val="out"/>
        <c:minorTickMark val="none"/>
        <c:tickLblPos val="nextTo"/>
        <c:txPr>
          <a:bodyPr rot="-4200000"/>
          <a:lstStyle/>
          <a:p>
            <a:pPr>
              <a:defRPr/>
            </a:pPr>
            <a:endParaRPr lang="en-US"/>
          </a:p>
        </c:txPr>
        <c:crossAx val="442551512"/>
        <c:crosses val="autoZero"/>
        <c:auto val="1"/>
        <c:lblAlgn val="ctr"/>
        <c:lblOffset val="100"/>
        <c:noMultiLvlLbl val="0"/>
      </c:catAx>
      <c:valAx>
        <c:axId val="442551512"/>
        <c:scaling>
          <c:orientation val="minMax"/>
        </c:scaling>
        <c:delete val="0"/>
        <c:axPos val="l"/>
        <c:majorGridlines/>
        <c:numFmt formatCode="General" sourceLinked="1"/>
        <c:majorTickMark val="out"/>
        <c:minorTickMark val="none"/>
        <c:tickLblPos val="nextTo"/>
        <c:crossAx val="442552688"/>
        <c:crosses val="autoZero"/>
        <c:crossBetween val="between"/>
      </c:valAx>
    </c:plotArea>
    <c:legend>
      <c:legendPos val="r"/>
      <c:layout>
        <c:manualLayout>
          <c:xMode val="edge"/>
          <c:yMode val="edge"/>
          <c:x val="0.80350127132545945"/>
          <c:y val="0.26900795295324925"/>
          <c:w val="0.18087372867454068"/>
          <c:h val="0.4770216880784639"/>
        </c:manualLayout>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71789986554138E-2"/>
          <c:y val="9.01817080557238E-2"/>
          <c:w val="0.79186565238667206"/>
          <c:h val="0.58892287502523721"/>
        </c:manualLayout>
      </c:layout>
      <c:lineChart>
        <c:grouping val="standard"/>
        <c:varyColors val="0"/>
        <c:ser>
          <c:idx val="0"/>
          <c:order val="0"/>
          <c:tx>
            <c:strRef>
              <c:f>Sheet1!$B$1</c:f>
              <c:strCache>
                <c:ptCount val="1"/>
                <c:pt idx="0">
                  <c:v>Upheld</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48.1</c:v>
                </c:pt>
                <c:pt idx="1">
                  <c:v>43.7</c:v>
                </c:pt>
                <c:pt idx="2">
                  <c:v>43.1</c:v>
                </c:pt>
                <c:pt idx="3" formatCode="0.0">
                  <c:v>29.1</c:v>
                </c:pt>
                <c:pt idx="4">
                  <c:v>23.2</c:v>
                </c:pt>
                <c:pt idx="5">
                  <c:v>31.3</c:v>
                </c:pt>
                <c:pt idx="6">
                  <c:v>19.2</c:v>
                </c:pt>
                <c:pt idx="7">
                  <c:v>32</c:v>
                </c:pt>
                <c:pt idx="8">
                  <c:v>22.3</c:v>
                </c:pt>
                <c:pt idx="9">
                  <c:v>26</c:v>
                </c:pt>
                <c:pt idx="10">
                  <c:v>25.6</c:v>
                </c:pt>
                <c:pt idx="11">
                  <c:v>25.7</c:v>
                </c:pt>
                <c:pt idx="12">
                  <c:v>30.2</c:v>
                </c:pt>
                <c:pt idx="13">
                  <c:v>33.299999999999997</c:v>
                </c:pt>
                <c:pt idx="14">
                  <c:v>30.2</c:v>
                </c:pt>
                <c:pt idx="15">
                  <c:v>20.7</c:v>
                </c:pt>
                <c:pt idx="16">
                  <c:v>22</c:v>
                </c:pt>
                <c:pt idx="17">
                  <c:v>31.2</c:v>
                </c:pt>
                <c:pt idx="18">
                  <c:v>26.4</c:v>
                </c:pt>
                <c:pt idx="19">
                  <c:v>21.9</c:v>
                </c:pt>
                <c:pt idx="20">
                  <c:v>25.7</c:v>
                </c:pt>
                <c:pt idx="21">
                  <c:v>28.3</c:v>
                </c:pt>
                <c:pt idx="22">
                  <c:v>26.3</c:v>
                </c:pt>
                <c:pt idx="23">
                  <c:v>19.100000000000001</c:v>
                </c:pt>
              </c:numCache>
            </c:numRef>
          </c:val>
          <c:smooth val="0"/>
        </c:ser>
        <c:ser>
          <c:idx val="1"/>
          <c:order val="1"/>
          <c:tx>
            <c:strRef>
              <c:f>Sheet1!$C$1</c:f>
              <c:strCache>
                <c:ptCount val="1"/>
                <c:pt idx="0">
                  <c:v>Partially upheld </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Sheet1!$C$2:$C$25</c:f>
              <c:numCache>
                <c:formatCode>General</c:formatCode>
                <c:ptCount val="24"/>
                <c:pt idx="0">
                  <c:v>0</c:v>
                </c:pt>
                <c:pt idx="1">
                  <c:v>0</c:v>
                </c:pt>
                <c:pt idx="2">
                  <c:v>8.9</c:v>
                </c:pt>
                <c:pt idx="3" formatCode="0.0">
                  <c:v>13.5</c:v>
                </c:pt>
                <c:pt idx="4">
                  <c:v>0</c:v>
                </c:pt>
                <c:pt idx="5">
                  <c:v>9</c:v>
                </c:pt>
                <c:pt idx="6">
                  <c:v>15.4</c:v>
                </c:pt>
                <c:pt idx="7">
                  <c:v>15</c:v>
                </c:pt>
                <c:pt idx="8">
                  <c:v>13.4</c:v>
                </c:pt>
                <c:pt idx="9">
                  <c:v>16.7</c:v>
                </c:pt>
                <c:pt idx="10">
                  <c:v>16.3</c:v>
                </c:pt>
                <c:pt idx="11">
                  <c:v>13.3</c:v>
                </c:pt>
                <c:pt idx="12">
                  <c:v>9.4</c:v>
                </c:pt>
                <c:pt idx="13">
                  <c:v>19.5</c:v>
                </c:pt>
                <c:pt idx="14">
                  <c:v>11.5</c:v>
                </c:pt>
                <c:pt idx="15">
                  <c:v>13.6</c:v>
                </c:pt>
                <c:pt idx="16">
                  <c:v>16.5</c:v>
                </c:pt>
                <c:pt idx="17">
                  <c:v>9.1999999999999993</c:v>
                </c:pt>
                <c:pt idx="18">
                  <c:v>17.600000000000001</c:v>
                </c:pt>
                <c:pt idx="19">
                  <c:v>16.399999999999999</c:v>
                </c:pt>
                <c:pt idx="20">
                  <c:v>12.2</c:v>
                </c:pt>
                <c:pt idx="21">
                  <c:v>11.8</c:v>
                </c:pt>
                <c:pt idx="22">
                  <c:v>13.5</c:v>
                </c:pt>
                <c:pt idx="23">
                  <c:v>19.8</c:v>
                </c:pt>
              </c:numCache>
            </c:numRef>
          </c:val>
          <c:smooth val="0"/>
        </c:ser>
        <c:dLbls>
          <c:showLegendKey val="0"/>
          <c:showVal val="0"/>
          <c:showCatName val="0"/>
          <c:showSerName val="0"/>
          <c:showPercent val="0"/>
          <c:showBubbleSize val="0"/>
        </c:dLbls>
        <c:marker val="1"/>
        <c:smooth val="0"/>
        <c:axId val="442549552"/>
        <c:axId val="442546416"/>
      </c:lineChart>
      <c:catAx>
        <c:axId val="442549552"/>
        <c:scaling>
          <c:orientation val="minMax"/>
        </c:scaling>
        <c:delete val="0"/>
        <c:axPos val="b"/>
        <c:numFmt formatCode="General" sourceLinked="0"/>
        <c:majorTickMark val="out"/>
        <c:minorTickMark val="none"/>
        <c:tickLblPos val="nextTo"/>
        <c:txPr>
          <a:bodyPr rot="-3660000"/>
          <a:lstStyle/>
          <a:p>
            <a:pPr>
              <a:defRPr/>
            </a:pPr>
            <a:endParaRPr lang="en-US"/>
          </a:p>
        </c:txPr>
        <c:crossAx val="442546416"/>
        <c:crosses val="autoZero"/>
        <c:auto val="1"/>
        <c:lblAlgn val="ctr"/>
        <c:lblOffset val="100"/>
        <c:noMultiLvlLbl val="0"/>
      </c:catAx>
      <c:valAx>
        <c:axId val="442546416"/>
        <c:scaling>
          <c:orientation val="minMax"/>
        </c:scaling>
        <c:delete val="0"/>
        <c:axPos val="l"/>
        <c:majorGridlines/>
        <c:numFmt formatCode="General" sourceLinked="1"/>
        <c:majorTickMark val="out"/>
        <c:minorTickMark val="none"/>
        <c:tickLblPos val="nextTo"/>
        <c:crossAx val="442549552"/>
        <c:crosses val="autoZero"/>
        <c:crossBetween val="between"/>
      </c:valAx>
    </c:plotArea>
    <c:legend>
      <c:legendPos val="r"/>
      <c:layout>
        <c:manualLayout>
          <c:xMode val="edge"/>
          <c:yMode val="edge"/>
          <c:x val="0.85414422349748653"/>
          <c:y val="0.31161148125715049"/>
          <c:w val="0.14351047644468171"/>
          <c:h val="0.35540951611817756"/>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4875774936735E-2"/>
          <c:y val="7.2201885054605619E-2"/>
          <c:w val="0.73193143867769217"/>
          <c:h val="0.61808655184592687"/>
        </c:manualLayout>
      </c:layout>
      <c:lineChart>
        <c:grouping val="standard"/>
        <c:varyColors val="0"/>
        <c:ser>
          <c:idx val="0"/>
          <c:order val="0"/>
          <c:tx>
            <c:strRef>
              <c:f>Sheet1!$B$1</c:f>
              <c:strCache>
                <c:ptCount val="1"/>
                <c:pt idx="0">
                  <c:v>Upheld</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2015/15</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12.5</c:v>
                </c:pt>
                <c:pt idx="1">
                  <c:v>66.7</c:v>
                </c:pt>
                <c:pt idx="2">
                  <c:v>61.5</c:v>
                </c:pt>
                <c:pt idx="3">
                  <c:v>0</c:v>
                </c:pt>
                <c:pt idx="4">
                  <c:v>14.3</c:v>
                </c:pt>
                <c:pt idx="5">
                  <c:v>56.2</c:v>
                </c:pt>
                <c:pt idx="6">
                  <c:v>25</c:v>
                </c:pt>
                <c:pt idx="7">
                  <c:v>1</c:v>
                </c:pt>
                <c:pt idx="8">
                  <c:v>8.6999999999999993</c:v>
                </c:pt>
                <c:pt idx="9">
                  <c:v>34.799999999999997</c:v>
                </c:pt>
                <c:pt idx="10">
                  <c:v>5.6</c:v>
                </c:pt>
                <c:pt idx="11">
                  <c:v>18.8</c:v>
                </c:pt>
                <c:pt idx="12">
                  <c:v>38.4</c:v>
                </c:pt>
                <c:pt idx="13">
                  <c:v>20</c:v>
                </c:pt>
                <c:pt idx="14">
                  <c:v>17.600000000000001</c:v>
                </c:pt>
                <c:pt idx="15">
                  <c:v>10</c:v>
                </c:pt>
                <c:pt idx="16">
                  <c:v>26.9</c:v>
                </c:pt>
                <c:pt idx="17">
                  <c:v>22.2</c:v>
                </c:pt>
                <c:pt idx="18">
                  <c:v>20</c:v>
                </c:pt>
                <c:pt idx="19">
                  <c:v>12.5</c:v>
                </c:pt>
                <c:pt idx="20">
                  <c:v>13.9</c:v>
                </c:pt>
                <c:pt idx="21">
                  <c:v>13.2</c:v>
                </c:pt>
                <c:pt idx="22">
                  <c:v>17.399999999999999</c:v>
                </c:pt>
                <c:pt idx="23">
                  <c:v>11.8</c:v>
                </c:pt>
              </c:numCache>
            </c:numRef>
          </c:val>
          <c:smooth val="0"/>
        </c:ser>
        <c:ser>
          <c:idx val="1"/>
          <c:order val="1"/>
          <c:tx>
            <c:strRef>
              <c:f>Sheet1!$C$1</c:f>
              <c:strCache>
                <c:ptCount val="1"/>
                <c:pt idx="0">
                  <c:v>Partially upheld </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2015/15</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Sheet1!$C$2:$C$25</c:f>
              <c:numCache>
                <c:formatCode>General</c:formatCode>
                <c:ptCount val="24"/>
                <c:pt idx="0">
                  <c:v>0</c:v>
                </c:pt>
                <c:pt idx="1">
                  <c:v>0</c:v>
                </c:pt>
                <c:pt idx="2">
                  <c:v>15.4</c:v>
                </c:pt>
                <c:pt idx="3">
                  <c:v>8.3000000000000007</c:v>
                </c:pt>
                <c:pt idx="4">
                  <c:v>0</c:v>
                </c:pt>
                <c:pt idx="5">
                  <c:v>12.5</c:v>
                </c:pt>
                <c:pt idx="6">
                  <c:v>20</c:v>
                </c:pt>
                <c:pt idx="7">
                  <c:v>25</c:v>
                </c:pt>
                <c:pt idx="8">
                  <c:v>21.7</c:v>
                </c:pt>
                <c:pt idx="9">
                  <c:v>17.399999999999999</c:v>
                </c:pt>
                <c:pt idx="10">
                  <c:v>55.6</c:v>
                </c:pt>
                <c:pt idx="11">
                  <c:v>12.5</c:v>
                </c:pt>
                <c:pt idx="12">
                  <c:v>15.4</c:v>
                </c:pt>
                <c:pt idx="13">
                  <c:v>26.7</c:v>
                </c:pt>
                <c:pt idx="14">
                  <c:v>47.1</c:v>
                </c:pt>
                <c:pt idx="15">
                  <c:v>30</c:v>
                </c:pt>
                <c:pt idx="16">
                  <c:v>15.4</c:v>
                </c:pt>
                <c:pt idx="17">
                  <c:v>11.1</c:v>
                </c:pt>
                <c:pt idx="18">
                  <c:v>25</c:v>
                </c:pt>
                <c:pt idx="19">
                  <c:v>20.8</c:v>
                </c:pt>
                <c:pt idx="20">
                  <c:v>19.399999999999999</c:v>
                </c:pt>
                <c:pt idx="21">
                  <c:v>31.6</c:v>
                </c:pt>
                <c:pt idx="22">
                  <c:v>28.3</c:v>
                </c:pt>
                <c:pt idx="23">
                  <c:v>20.6</c:v>
                </c:pt>
              </c:numCache>
            </c:numRef>
          </c:val>
          <c:smooth val="0"/>
        </c:ser>
        <c:dLbls>
          <c:showLegendKey val="0"/>
          <c:showVal val="0"/>
          <c:showCatName val="0"/>
          <c:showSerName val="0"/>
          <c:showPercent val="0"/>
          <c:showBubbleSize val="0"/>
        </c:dLbls>
        <c:marker val="1"/>
        <c:smooth val="0"/>
        <c:axId val="272491680"/>
        <c:axId val="272489720"/>
      </c:lineChart>
      <c:catAx>
        <c:axId val="272491680"/>
        <c:scaling>
          <c:orientation val="minMax"/>
        </c:scaling>
        <c:delete val="0"/>
        <c:axPos val="b"/>
        <c:numFmt formatCode="General" sourceLinked="0"/>
        <c:majorTickMark val="out"/>
        <c:minorTickMark val="none"/>
        <c:tickLblPos val="nextTo"/>
        <c:txPr>
          <a:bodyPr rot="-5100000"/>
          <a:lstStyle/>
          <a:p>
            <a:pPr>
              <a:defRPr/>
            </a:pPr>
            <a:endParaRPr lang="en-US"/>
          </a:p>
        </c:txPr>
        <c:crossAx val="272489720"/>
        <c:crosses val="autoZero"/>
        <c:auto val="1"/>
        <c:lblAlgn val="ctr"/>
        <c:lblOffset val="100"/>
        <c:noMultiLvlLbl val="0"/>
      </c:catAx>
      <c:valAx>
        <c:axId val="272489720"/>
        <c:scaling>
          <c:orientation val="minMax"/>
        </c:scaling>
        <c:delete val="0"/>
        <c:axPos val="l"/>
        <c:majorGridlines/>
        <c:numFmt formatCode="General" sourceLinked="1"/>
        <c:majorTickMark val="out"/>
        <c:minorTickMark val="none"/>
        <c:tickLblPos val="nextTo"/>
        <c:crossAx val="272491680"/>
        <c:crosses val="autoZero"/>
        <c:crossBetween val="between"/>
      </c:valAx>
    </c:plotArea>
    <c:legend>
      <c:legendPos val="r"/>
      <c:layout>
        <c:manualLayout>
          <c:xMode val="edge"/>
          <c:yMode val="edge"/>
          <c:x val="0.80074788404258457"/>
          <c:y val="0.31713129608798901"/>
          <c:w val="0.18427084254917575"/>
          <c:h val="0.25462629671291087"/>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519404825286511E-2"/>
          <c:y val="8.1910571989312161E-2"/>
          <c:w val="0.83095319490757602"/>
          <c:h val="0.59664136577522409"/>
        </c:manualLayout>
      </c:layout>
      <c:lineChart>
        <c:grouping val="standard"/>
        <c:varyColors val="0"/>
        <c:ser>
          <c:idx val="0"/>
          <c:order val="0"/>
          <c:tx>
            <c:strRef>
              <c:f>Sheet1!$B$1</c:f>
              <c:strCache>
                <c:ptCount val="1"/>
                <c:pt idx="0">
                  <c:v>Stage 1</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8.6999999999999993</c:v>
                </c:pt>
                <c:pt idx="1">
                  <c:v>6.2</c:v>
                </c:pt>
                <c:pt idx="2">
                  <c:v>8.3000000000000007</c:v>
                </c:pt>
                <c:pt idx="3">
                  <c:v>8.4</c:v>
                </c:pt>
                <c:pt idx="4">
                  <c:v>7.5</c:v>
                </c:pt>
                <c:pt idx="5">
                  <c:v>7.2</c:v>
                </c:pt>
                <c:pt idx="6">
                  <c:v>7.8</c:v>
                </c:pt>
                <c:pt idx="7">
                  <c:v>10</c:v>
                </c:pt>
                <c:pt idx="8">
                  <c:v>8.1999999999999993</c:v>
                </c:pt>
                <c:pt idx="9">
                  <c:v>12.6</c:v>
                </c:pt>
                <c:pt idx="10">
                  <c:v>5.6</c:v>
                </c:pt>
                <c:pt idx="11">
                  <c:v>9.1999999999999993</c:v>
                </c:pt>
                <c:pt idx="12">
                  <c:v>16.899999999999999</c:v>
                </c:pt>
                <c:pt idx="13">
                  <c:v>5.4</c:v>
                </c:pt>
                <c:pt idx="14">
                  <c:v>6.2</c:v>
                </c:pt>
                <c:pt idx="15">
                  <c:v>6.6</c:v>
                </c:pt>
                <c:pt idx="16">
                  <c:v>6.1</c:v>
                </c:pt>
                <c:pt idx="17">
                  <c:v>8.3000000000000007</c:v>
                </c:pt>
                <c:pt idx="18">
                  <c:v>10.3</c:v>
                </c:pt>
                <c:pt idx="19">
                  <c:v>7.3</c:v>
                </c:pt>
                <c:pt idx="20">
                  <c:v>6</c:v>
                </c:pt>
                <c:pt idx="21">
                  <c:v>4</c:v>
                </c:pt>
                <c:pt idx="22">
                  <c:v>5.0999999999999996</c:v>
                </c:pt>
                <c:pt idx="23">
                  <c:v>5.3</c:v>
                </c:pt>
              </c:numCache>
            </c:numRef>
          </c:val>
          <c:smooth val="0"/>
        </c:ser>
        <c:ser>
          <c:idx val="1"/>
          <c:order val="1"/>
          <c:tx>
            <c:strRef>
              <c:f>Sheet1!$C$1</c:f>
              <c:strCache>
                <c:ptCount val="1"/>
                <c:pt idx="0">
                  <c:v>Stage 2</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Sheet1!$C$2:$C$25</c:f>
              <c:numCache>
                <c:formatCode>General</c:formatCode>
                <c:ptCount val="24"/>
                <c:pt idx="0">
                  <c:v>14</c:v>
                </c:pt>
                <c:pt idx="1">
                  <c:v>10.4</c:v>
                </c:pt>
                <c:pt idx="2">
                  <c:v>22</c:v>
                </c:pt>
                <c:pt idx="3">
                  <c:v>12.8</c:v>
                </c:pt>
                <c:pt idx="4">
                  <c:v>11.4</c:v>
                </c:pt>
                <c:pt idx="5">
                  <c:v>5.7</c:v>
                </c:pt>
                <c:pt idx="6">
                  <c:v>15.1</c:v>
                </c:pt>
                <c:pt idx="7">
                  <c:v>7.5</c:v>
                </c:pt>
                <c:pt idx="8">
                  <c:v>24.5</c:v>
                </c:pt>
                <c:pt idx="9">
                  <c:v>20.5</c:v>
                </c:pt>
                <c:pt idx="10">
                  <c:v>23.7</c:v>
                </c:pt>
                <c:pt idx="11">
                  <c:v>14.7</c:v>
                </c:pt>
                <c:pt idx="12">
                  <c:v>7.8</c:v>
                </c:pt>
                <c:pt idx="13">
                  <c:v>18.2</c:v>
                </c:pt>
                <c:pt idx="14">
                  <c:v>27.2</c:v>
                </c:pt>
                <c:pt idx="15">
                  <c:v>22.8</c:v>
                </c:pt>
                <c:pt idx="16">
                  <c:v>20.100000000000001</c:v>
                </c:pt>
                <c:pt idx="17">
                  <c:v>35</c:v>
                </c:pt>
                <c:pt idx="18">
                  <c:v>21.4</c:v>
                </c:pt>
                <c:pt idx="19">
                  <c:v>24.6</c:v>
                </c:pt>
                <c:pt idx="20">
                  <c:v>17.8</c:v>
                </c:pt>
                <c:pt idx="21">
                  <c:v>20.3</c:v>
                </c:pt>
                <c:pt idx="22">
                  <c:v>19.399999999999999</c:v>
                </c:pt>
                <c:pt idx="23">
                  <c:v>20.9</c:v>
                </c:pt>
              </c:numCache>
            </c:numRef>
          </c:val>
          <c:smooth val="0"/>
        </c:ser>
        <c:dLbls>
          <c:showLegendKey val="0"/>
          <c:showVal val="0"/>
          <c:showCatName val="0"/>
          <c:showSerName val="0"/>
          <c:showPercent val="0"/>
          <c:showBubbleSize val="0"/>
        </c:dLbls>
        <c:marker val="1"/>
        <c:smooth val="0"/>
        <c:axId val="442910304"/>
        <c:axId val="442911872"/>
      </c:lineChart>
      <c:catAx>
        <c:axId val="442910304"/>
        <c:scaling>
          <c:orientation val="minMax"/>
        </c:scaling>
        <c:delete val="0"/>
        <c:axPos val="b"/>
        <c:numFmt formatCode="General" sourceLinked="0"/>
        <c:majorTickMark val="out"/>
        <c:minorTickMark val="none"/>
        <c:tickLblPos val="nextTo"/>
        <c:txPr>
          <a:bodyPr rot="-3660000"/>
          <a:lstStyle/>
          <a:p>
            <a:pPr>
              <a:defRPr/>
            </a:pPr>
            <a:endParaRPr lang="en-US"/>
          </a:p>
        </c:txPr>
        <c:crossAx val="442911872"/>
        <c:crosses val="autoZero"/>
        <c:auto val="1"/>
        <c:lblAlgn val="ctr"/>
        <c:lblOffset val="100"/>
        <c:noMultiLvlLbl val="0"/>
      </c:catAx>
      <c:valAx>
        <c:axId val="442911872"/>
        <c:scaling>
          <c:orientation val="minMax"/>
        </c:scaling>
        <c:delete val="0"/>
        <c:axPos val="l"/>
        <c:majorGridlines/>
        <c:numFmt formatCode="General" sourceLinked="1"/>
        <c:majorTickMark val="out"/>
        <c:minorTickMark val="none"/>
        <c:tickLblPos val="nextTo"/>
        <c:crossAx val="442910304"/>
        <c:crosses val="autoZero"/>
        <c:crossBetween val="between"/>
      </c:valAx>
    </c:plotArea>
    <c:legend>
      <c:legendPos val="r"/>
      <c:layout>
        <c:manualLayout>
          <c:xMode val="edge"/>
          <c:yMode val="edge"/>
          <c:x val="0.875030930320989"/>
          <c:y val="0.28345164061699496"/>
          <c:w val="0.12496906967901097"/>
          <c:h val="0.31297628336998418"/>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lineChart>
        <c:grouping val="standard"/>
        <c:varyColors val="0"/>
        <c:ser>
          <c:idx val="0"/>
          <c:order val="0"/>
          <c:tx>
            <c:strRef>
              <c:f>Sheet1!$B$1</c:f>
              <c:strCache>
                <c:ptCount val="1"/>
                <c:pt idx="0">
                  <c:v>% of respondents very satisfied or satisfied with the information on how to make a complaint </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Qtr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43</c:v>
                </c:pt>
                <c:pt idx="1">
                  <c:v>45</c:v>
                </c:pt>
                <c:pt idx="2">
                  <c:v>48</c:v>
                </c:pt>
                <c:pt idx="3">
                  <c:v>45</c:v>
                </c:pt>
                <c:pt idx="4">
                  <c:v>62</c:v>
                </c:pt>
                <c:pt idx="5">
                  <c:v>54.55</c:v>
                </c:pt>
                <c:pt idx="6">
                  <c:v>57.14</c:v>
                </c:pt>
                <c:pt idx="7">
                  <c:v>52.7</c:v>
                </c:pt>
                <c:pt idx="8">
                  <c:v>51.5</c:v>
                </c:pt>
                <c:pt idx="9">
                  <c:v>49.12</c:v>
                </c:pt>
                <c:pt idx="10">
                  <c:v>40.909999999999997</c:v>
                </c:pt>
                <c:pt idx="11">
                  <c:v>45</c:v>
                </c:pt>
                <c:pt idx="12">
                  <c:v>68.75</c:v>
                </c:pt>
                <c:pt idx="13">
                  <c:v>36.36</c:v>
                </c:pt>
                <c:pt idx="14">
                  <c:v>76.92</c:v>
                </c:pt>
                <c:pt idx="15">
                  <c:v>25</c:v>
                </c:pt>
                <c:pt idx="16">
                  <c:v>53.84</c:v>
                </c:pt>
                <c:pt idx="17">
                  <c:v>56</c:v>
                </c:pt>
                <c:pt idx="18">
                  <c:v>78.569999999999993</c:v>
                </c:pt>
                <c:pt idx="19">
                  <c:v>33.33</c:v>
                </c:pt>
                <c:pt idx="20">
                  <c:v>42.86</c:v>
                </c:pt>
                <c:pt idx="21">
                  <c:v>54.54</c:v>
                </c:pt>
                <c:pt idx="22">
                  <c:v>26.67</c:v>
                </c:pt>
                <c:pt idx="23">
                  <c:v>33.33</c:v>
                </c:pt>
              </c:numCache>
            </c:numRef>
          </c:val>
          <c:smooth val="0"/>
        </c:ser>
        <c:dLbls>
          <c:showLegendKey val="0"/>
          <c:showVal val="0"/>
          <c:showCatName val="0"/>
          <c:showSerName val="0"/>
          <c:showPercent val="0"/>
          <c:showBubbleSize val="0"/>
        </c:dLbls>
        <c:marker val="1"/>
        <c:smooth val="0"/>
        <c:axId val="442916968"/>
        <c:axId val="442912264"/>
      </c:lineChart>
      <c:catAx>
        <c:axId val="442916968"/>
        <c:scaling>
          <c:orientation val="minMax"/>
        </c:scaling>
        <c:delete val="0"/>
        <c:axPos val="b"/>
        <c:numFmt formatCode="General" sourceLinked="0"/>
        <c:majorTickMark val="out"/>
        <c:minorTickMark val="none"/>
        <c:tickLblPos val="nextTo"/>
        <c:txPr>
          <a:bodyPr rot="-3120000"/>
          <a:lstStyle/>
          <a:p>
            <a:pPr>
              <a:defRPr/>
            </a:pPr>
            <a:endParaRPr lang="en-US"/>
          </a:p>
        </c:txPr>
        <c:crossAx val="442912264"/>
        <c:crosses val="autoZero"/>
        <c:auto val="1"/>
        <c:lblAlgn val="ctr"/>
        <c:lblOffset val="100"/>
        <c:noMultiLvlLbl val="0"/>
      </c:catAx>
      <c:valAx>
        <c:axId val="442912264"/>
        <c:scaling>
          <c:orientation val="minMax"/>
        </c:scaling>
        <c:delete val="0"/>
        <c:axPos val="l"/>
        <c:majorGridlines/>
        <c:numFmt formatCode="General" sourceLinked="1"/>
        <c:majorTickMark val="out"/>
        <c:minorTickMark val="none"/>
        <c:tickLblPos val="nextTo"/>
        <c:crossAx val="442916968"/>
        <c:crosses val="autoZero"/>
        <c:crossBetween val="between"/>
      </c:val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 of respondents very satisfied or satisfied with the way they were treated by the staff who handled their complaint </a:t>
            </a:r>
          </a:p>
        </c:rich>
      </c:tx>
      <c:overlay val="0"/>
    </c:title>
    <c:autoTitleDeleted val="0"/>
    <c:plotArea>
      <c:layout>
        <c:manualLayout>
          <c:layoutTarget val="inner"/>
          <c:xMode val="edge"/>
          <c:yMode val="edge"/>
          <c:x val="0.10377689347971289"/>
          <c:y val="0.34860812852938838"/>
          <c:w val="0.89622315729052382"/>
          <c:h val="0.39772273920305418"/>
        </c:manualLayout>
      </c:layout>
      <c:lineChart>
        <c:grouping val="standard"/>
        <c:varyColors val="0"/>
        <c:ser>
          <c:idx val="0"/>
          <c:order val="0"/>
          <c:tx>
            <c:strRef>
              <c:f>Sheet1!$B$1</c:f>
              <c:strCache>
                <c:ptCount val="1"/>
                <c:pt idx="0">
                  <c:v>%of respondents very satisfied or satisfied with the way they were treated by the staff who handled the complaints </c:v>
                </c:pt>
              </c:strCache>
            </c:strRef>
          </c:tx>
          <c:cat>
            <c:strRef>
              <c:f>Sheet1!$A$2:$A$25</c:f>
              <c:strCache>
                <c:ptCount val="24"/>
                <c:pt idx="0">
                  <c:v>Qtr 1 2013/14</c:v>
                </c:pt>
                <c:pt idx="1">
                  <c:v>Qtr 2 2013/14</c:v>
                </c:pt>
                <c:pt idx="2">
                  <c:v>Qtr 3 2013/14</c:v>
                </c:pt>
                <c:pt idx="3">
                  <c:v>Qtr 4 2013/14</c:v>
                </c:pt>
                <c:pt idx="4">
                  <c:v>Qtr 1 2014/15</c:v>
                </c:pt>
                <c:pt idx="5">
                  <c:v>Qtr 2 2014/15</c:v>
                </c:pt>
                <c:pt idx="6">
                  <c:v>Qtr 3 2014/15</c:v>
                </c:pt>
                <c:pt idx="7">
                  <c:v>Qtr 4 2014/15</c:v>
                </c:pt>
                <c:pt idx="8">
                  <c:v>Qtr 1 2015/16</c:v>
                </c:pt>
                <c:pt idx="9">
                  <c:v>Qrt 2 2015/16</c:v>
                </c:pt>
                <c:pt idx="10">
                  <c:v>Qtr 3 2015/16</c:v>
                </c:pt>
                <c:pt idx="11">
                  <c:v>Qtr 4 2015/16</c:v>
                </c:pt>
                <c:pt idx="12">
                  <c:v>Qtr 1 2016/17</c:v>
                </c:pt>
                <c:pt idx="13">
                  <c:v>Qtr 2 2016/17</c:v>
                </c:pt>
                <c:pt idx="14">
                  <c:v>Qtr 3 2016/17</c:v>
                </c:pt>
                <c:pt idx="15">
                  <c:v>Qtr 4 2016/17</c:v>
                </c:pt>
                <c:pt idx="16">
                  <c:v>Qtr 1 2017/18</c:v>
                </c:pt>
                <c:pt idx="17">
                  <c:v>Qtr 2 2017/18</c:v>
                </c:pt>
                <c:pt idx="18">
                  <c:v>Qtr 3 2017/18</c:v>
                </c:pt>
                <c:pt idx="19">
                  <c:v>Qtr 4 2017/18</c:v>
                </c:pt>
                <c:pt idx="20">
                  <c:v>Qtr 1 2018/19</c:v>
                </c:pt>
                <c:pt idx="21">
                  <c:v>Qtr 2 2018/19</c:v>
                </c:pt>
                <c:pt idx="22">
                  <c:v>Qtr 3 2018/19</c:v>
                </c:pt>
                <c:pt idx="23">
                  <c:v>Qtr 4 2018/19</c:v>
                </c:pt>
              </c:strCache>
            </c:strRef>
          </c:cat>
          <c:val>
            <c:numRef>
              <c:f>Sheet1!$B$2:$B$25</c:f>
              <c:numCache>
                <c:formatCode>General</c:formatCode>
                <c:ptCount val="24"/>
                <c:pt idx="0">
                  <c:v>50</c:v>
                </c:pt>
                <c:pt idx="1">
                  <c:v>61</c:v>
                </c:pt>
                <c:pt idx="2">
                  <c:v>55</c:v>
                </c:pt>
                <c:pt idx="3">
                  <c:v>48</c:v>
                </c:pt>
                <c:pt idx="4">
                  <c:v>62</c:v>
                </c:pt>
                <c:pt idx="5">
                  <c:v>54.54</c:v>
                </c:pt>
                <c:pt idx="6">
                  <c:v>48.57</c:v>
                </c:pt>
                <c:pt idx="7">
                  <c:v>47.83</c:v>
                </c:pt>
                <c:pt idx="8">
                  <c:v>69.7</c:v>
                </c:pt>
                <c:pt idx="9">
                  <c:v>52.63</c:v>
                </c:pt>
                <c:pt idx="10">
                  <c:v>36.369999999999997</c:v>
                </c:pt>
                <c:pt idx="11">
                  <c:v>35</c:v>
                </c:pt>
                <c:pt idx="12">
                  <c:v>81.25</c:v>
                </c:pt>
                <c:pt idx="13">
                  <c:v>63.3</c:v>
                </c:pt>
                <c:pt idx="14">
                  <c:v>23.07</c:v>
                </c:pt>
                <c:pt idx="15">
                  <c:v>25</c:v>
                </c:pt>
                <c:pt idx="16">
                  <c:v>23.07</c:v>
                </c:pt>
                <c:pt idx="17">
                  <c:v>28</c:v>
                </c:pt>
                <c:pt idx="18">
                  <c:v>57.14</c:v>
                </c:pt>
                <c:pt idx="19">
                  <c:v>55.55</c:v>
                </c:pt>
                <c:pt idx="20">
                  <c:v>42.86</c:v>
                </c:pt>
                <c:pt idx="21">
                  <c:v>45.45</c:v>
                </c:pt>
                <c:pt idx="22">
                  <c:v>40</c:v>
                </c:pt>
                <c:pt idx="23">
                  <c:v>55.55</c:v>
                </c:pt>
              </c:numCache>
            </c:numRef>
          </c:val>
          <c:smooth val="0"/>
        </c:ser>
        <c:dLbls>
          <c:showLegendKey val="0"/>
          <c:showVal val="0"/>
          <c:showCatName val="0"/>
          <c:showSerName val="0"/>
          <c:showPercent val="0"/>
          <c:showBubbleSize val="0"/>
        </c:dLbls>
        <c:marker val="1"/>
        <c:smooth val="0"/>
        <c:axId val="442914224"/>
        <c:axId val="442916576"/>
      </c:lineChart>
      <c:catAx>
        <c:axId val="442914224"/>
        <c:scaling>
          <c:orientation val="minMax"/>
        </c:scaling>
        <c:delete val="0"/>
        <c:axPos val="b"/>
        <c:numFmt formatCode="General" sourceLinked="1"/>
        <c:majorTickMark val="out"/>
        <c:minorTickMark val="none"/>
        <c:tickLblPos val="nextTo"/>
        <c:txPr>
          <a:bodyPr rot="-2940000" vert="horz" anchor="t" anchorCtr="0"/>
          <a:lstStyle/>
          <a:p>
            <a:pPr>
              <a:defRPr/>
            </a:pPr>
            <a:endParaRPr lang="en-US"/>
          </a:p>
        </c:txPr>
        <c:crossAx val="442916576"/>
        <c:crosses val="autoZero"/>
        <c:auto val="1"/>
        <c:lblAlgn val="ctr"/>
        <c:lblOffset val="100"/>
        <c:noMultiLvlLbl val="0"/>
      </c:catAx>
      <c:valAx>
        <c:axId val="442916576"/>
        <c:scaling>
          <c:orientation val="minMax"/>
        </c:scaling>
        <c:delete val="0"/>
        <c:axPos val="l"/>
        <c:majorGridlines/>
        <c:numFmt formatCode="General" sourceLinked="1"/>
        <c:majorTickMark val="out"/>
        <c:minorTickMark val="none"/>
        <c:tickLblPos val="nextTo"/>
        <c:crossAx val="44291422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637CC-05D0-4334-9401-33D041834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5098</Words>
  <Characters>29064</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REPORT TO:</vt:lpstr>
    </vt:vector>
  </TitlesOfParts>
  <Company>DUNDEE CITY COUNCIL</Company>
  <LinksUpToDate>false</LinksUpToDate>
  <CharactersWithSpaces>34094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dc:title>
  <dc:creator>user</dc:creator>
  <cp:lastModifiedBy>Paul Carroll</cp:lastModifiedBy>
  <cp:revision>2</cp:revision>
  <cp:lastPrinted>2019-06-07T12:16:00Z</cp:lastPrinted>
  <dcterms:created xsi:type="dcterms:W3CDTF">2019-07-08T14:42:00Z</dcterms:created>
  <dcterms:modified xsi:type="dcterms:W3CDTF">2019-07-08T14:42:00Z</dcterms:modified>
</cp:coreProperties>
</file>